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553C9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C727CA1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6C6E95AB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>梯度PCR</w:t>
      </w:r>
    </w:p>
    <w:p w14:paraId="2F2BAD1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0D8D978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1FC69C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714A09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0067C044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745DD228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1C7BDC5B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63B577BA"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 w14:paraId="62A56127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 w14:paraId="4B3E1D90">
      <w:pPr>
        <w:rPr>
          <w:color w:val="auto"/>
          <w:highlight w:val="none"/>
        </w:rPr>
      </w:pPr>
    </w:p>
    <w:p w14:paraId="2C6B03EF">
      <w:pPr>
        <w:pStyle w:val="5"/>
        <w:rPr>
          <w:color w:val="auto"/>
          <w:highlight w:val="none"/>
        </w:rPr>
      </w:pPr>
    </w:p>
    <w:p w14:paraId="3891308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EE4727D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72BB0139">
      <w:pPr>
        <w:pStyle w:val="5"/>
        <w:rPr>
          <w:rFonts w:hint="eastAsia"/>
          <w:lang w:val="en-US" w:eastAsia="zh-CN"/>
        </w:rPr>
      </w:pPr>
    </w:p>
    <w:p w14:paraId="270DFDF8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EBA14C6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4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25日</w:t>
      </w:r>
    </w:p>
    <w:p w14:paraId="2E809BE1"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150B5E5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0" w:name="_Toc31699"/>
      <w:bookmarkStart w:id="1" w:name="_Toc42015219"/>
      <w:bookmarkStart w:id="2" w:name="_Toc42014953"/>
      <w:bookmarkStart w:id="3" w:name="_Toc519708707"/>
      <w:bookmarkStart w:id="4" w:name="_Toc16543"/>
      <w:bookmarkStart w:id="5" w:name="_Toc42015018"/>
      <w:bookmarkStart w:id="6" w:name="_Toc25494"/>
      <w:bookmarkStart w:id="7" w:name="_Toc12690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1B7455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梯度PCR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”进行市场调研询价，欢迎符合条件的供应商参加。</w:t>
      </w:r>
    </w:p>
    <w:p w14:paraId="4D4BEAE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梯度PCR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的市场调研询价项目</w:t>
      </w:r>
    </w:p>
    <w:p w14:paraId="09FE2F2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二、供应商参加本次采购活动应具备下列条件</w:t>
      </w:r>
    </w:p>
    <w:p w14:paraId="7D031C3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E98727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51853B6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5E385C2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4E827DD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（五）参加本次采购活动前三</w:t>
      </w:r>
      <w:bookmarkStart w:id="42" w:name="_GoBack"/>
      <w:bookmarkEnd w:id="42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年内，在经营活动中没有重大违法记录；</w:t>
      </w:r>
    </w:p>
    <w:p w14:paraId="178E4F7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1113990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0371484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1461278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5209E96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36E7FB7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项目公告期：202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日至202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日。</w:t>
      </w:r>
    </w:p>
    <w:p w14:paraId="228DB0B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（一）递交响应文件截止时间：202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日15:00（北京时间）。</w:t>
      </w:r>
    </w:p>
    <w:p w14:paraId="09DAA33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  （二）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7356E87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（三）响应文件数量：一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本。</w:t>
      </w:r>
    </w:p>
    <w:p w14:paraId="56722F43">
      <w:pPr>
        <w:snapToGrid w:val="0"/>
        <w:spacing w:line="480" w:lineRule="exact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 w14:paraId="5A780E3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default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联系人：吴老师 李老师</w:t>
      </w:r>
    </w:p>
    <w:p w14:paraId="1335FCB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联系电话：0839-32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64861</w:t>
      </w:r>
    </w:p>
    <w:p w14:paraId="12BFCD8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3913FD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1DD5DC4A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C76F41C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86DC663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5B589FA">
      <w:pPr>
        <w:pStyle w:val="15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8DCFA39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4AF6BE4F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5EEB3BC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26AAA1A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34EAC47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64FA7571">
      <w:pPr>
        <w:pStyle w:val="16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26538ED0">
      <w:pPr>
        <w:pStyle w:val="16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B16DA9E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A8044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D45B8C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A55FD16">
      <w:pPr>
        <w:pStyle w:val="16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8746D5E">
      <w:pPr>
        <w:pStyle w:val="16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38EBAB23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DBEE17C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E72DF40">
      <w:pPr>
        <w:pStyle w:val="16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0F8A63B">
      <w:pPr>
        <w:pStyle w:val="16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0C954F7A">
      <w:pPr>
        <w:pStyle w:val="16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2E462341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4409265"/>
      <w:bookmarkStart w:id="9" w:name="_Toc9341"/>
      <w:bookmarkStart w:id="10" w:name="_Toc9714"/>
      <w:bookmarkStart w:id="11" w:name="_Toc10579"/>
      <w:bookmarkStart w:id="12" w:name="_Toc10646"/>
      <w:bookmarkStart w:id="13" w:name="_Toc42015019"/>
      <w:bookmarkStart w:id="14" w:name="_Toc5155"/>
      <w:bookmarkStart w:id="15" w:name="_Toc519708708"/>
      <w:bookmarkStart w:id="16" w:name="_Toc42015220"/>
      <w:bookmarkStart w:id="17" w:name="_Toc13516"/>
      <w:bookmarkStart w:id="18" w:name="_Toc12952"/>
      <w:bookmarkStart w:id="19" w:name="_Toc24738"/>
      <w:bookmarkStart w:id="20" w:name="_Toc514424483"/>
      <w:bookmarkStart w:id="21" w:name="_Toc8915"/>
      <w:bookmarkStart w:id="22" w:name="_Toc42014954"/>
      <w:bookmarkStart w:id="23" w:name="_Toc1527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59191DF7">
      <w:pPr>
        <w:pStyle w:val="2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A2035F9">
      <w:pPr>
        <w:pStyle w:val="4"/>
        <w:bidi w:val="0"/>
        <w:jc w:val="center"/>
        <w:rPr>
          <w:rFonts w:hint="eastAsia"/>
          <w:lang w:val="en-US" w:eastAsia="zh-CN"/>
        </w:rPr>
      </w:pPr>
      <w:bookmarkStart w:id="24" w:name="_Toc42014957"/>
      <w:bookmarkStart w:id="25" w:name="_Toc16088"/>
      <w:bookmarkStart w:id="26" w:name="_Toc42015022"/>
      <w:bookmarkStart w:id="27" w:name="_Toc15373"/>
      <w:bookmarkStart w:id="28" w:name="_Toc21920"/>
      <w:bookmarkStart w:id="29" w:name="_Toc36199918"/>
      <w:bookmarkStart w:id="30" w:name="_Toc27016"/>
      <w:bookmarkStart w:id="31" w:name="_Toc25115"/>
      <w:bookmarkStart w:id="32" w:name="_Toc19542"/>
      <w:bookmarkStart w:id="33" w:name="_Toc42015223"/>
      <w:bookmarkStart w:id="34" w:name="_Toc7672"/>
      <w:bookmarkStart w:id="35" w:name="_Toc751"/>
      <w:bookmarkStart w:id="36" w:name="_Toc7099"/>
      <w:r>
        <w:rPr>
          <w:rFonts w:hint="eastAsia"/>
          <w:lang w:val="en-US" w:eastAsia="zh-CN"/>
        </w:rPr>
        <w:t>技术参数</w:t>
      </w:r>
    </w:p>
    <w:p w14:paraId="3012273A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▲1、采用最新一代半导体芯片，最大升温速度可达9℃/秒，循环次数可达一百万次。</w:t>
      </w:r>
    </w:p>
    <w:p w14:paraId="43FAAFC1">
      <w:pPr>
        <w:snapToGrid w:val="0"/>
        <w:spacing w:line="44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▲2、≥10.1寸TFT高清真彩全触控液晶屏，屏幕角度可在0-90度范围任意调节，适合不同视角使用，曲线图形实时显示程序。</w:t>
      </w:r>
    </w:p>
    <w:p w14:paraId="34FDFFDB">
      <w:pPr>
        <w:snapToGrid w:val="0"/>
        <w:spacing w:line="44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▲3、样品台规格: 96孔*0.2ml/0.1ml，只需更换样品台，即可升级为双槽或者三槽PCR仪。</w:t>
      </w:r>
    </w:p>
    <w:p w14:paraId="62D08162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4、温度范围：0℃～105℃；温度准确性：≤±0.1℃，温度均匀性：≤±0.2℃。 </w:t>
      </w:r>
    </w:p>
    <w:p w14:paraId="38DB6F91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5、梯度范围：30℃～105℃。</w:t>
      </w:r>
    </w:p>
    <w:p w14:paraId="4D111B61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▲6、二维梯度温差范围：水平方向0.1℃~42℃，垂直方向0.1℃~24℃。</w:t>
      </w:r>
    </w:p>
    <w:p w14:paraId="3A2D35E5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7、厂家需提供ISO13485和ISO 9001认证。</w:t>
      </w:r>
    </w:p>
    <w:p w14:paraId="5DB09D5B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▲8、质保期不少于5年。</w:t>
      </w:r>
    </w:p>
    <w:p w14:paraId="52F402AE">
      <w:pPr>
        <w:snapToGrid w:val="0"/>
        <w:spacing w:line="44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4B1CD9BF">
      <w:pPr>
        <w:snapToGrid w:val="0"/>
        <w:spacing w:line="44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40B6B547">
      <w:pPr>
        <w:rPr>
          <w:rFonts w:hint="eastAsia"/>
          <w:color w:val="auto"/>
          <w:sz w:val="36"/>
          <w:szCs w:val="48"/>
          <w:highlight w:val="none"/>
        </w:rPr>
      </w:pPr>
    </w:p>
    <w:p w14:paraId="38B308BD">
      <w:pPr>
        <w:rPr>
          <w:rFonts w:hint="eastAsia"/>
          <w:color w:val="auto"/>
          <w:sz w:val="36"/>
          <w:szCs w:val="48"/>
          <w:highlight w:val="none"/>
        </w:rPr>
      </w:pPr>
    </w:p>
    <w:p w14:paraId="5FF7CEB9">
      <w:pPr>
        <w:rPr>
          <w:rFonts w:hint="eastAsia"/>
          <w:color w:val="auto"/>
          <w:sz w:val="36"/>
          <w:szCs w:val="48"/>
          <w:highlight w:val="none"/>
        </w:rPr>
      </w:pPr>
    </w:p>
    <w:p w14:paraId="55FB6454">
      <w:pPr>
        <w:rPr>
          <w:rFonts w:hint="eastAsia"/>
          <w:color w:val="auto"/>
          <w:sz w:val="36"/>
          <w:szCs w:val="48"/>
          <w:highlight w:val="none"/>
        </w:rPr>
      </w:pPr>
    </w:p>
    <w:p w14:paraId="39D687AB">
      <w:pPr>
        <w:rPr>
          <w:rFonts w:hint="eastAsia"/>
          <w:color w:val="auto"/>
          <w:sz w:val="36"/>
          <w:szCs w:val="48"/>
          <w:highlight w:val="none"/>
        </w:rPr>
      </w:pPr>
    </w:p>
    <w:p w14:paraId="035670A5">
      <w:pPr>
        <w:rPr>
          <w:rFonts w:hint="eastAsia"/>
          <w:color w:val="auto"/>
          <w:sz w:val="36"/>
          <w:szCs w:val="48"/>
          <w:highlight w:val="none"/>
        </w:rPr>
      </w:pPr>
    </w:p>
    <w:p w14:paraId="4C7309A1">
      <w:pPr>
        <w:rPr>
          <w:rFonts w:hint="eastAsia"/>
          <w:color w:val="auto"/>
          <w:sz w:val="36"/>
          <w:szCs w:val="48"/>
          <w:highlight w:val="none"/>
        </w:rPr>
      </w:pPr>
    </w:p>
    <w:p w14:paraId="71CBF8E5">
      <w:pPr>
        <w:rPr>
          <w:rFonts w:hint="eastAsia"/>
          <w:color w:val="auto"/>
          <w:sz w:val="36"/>
          <w:szCs w:val="48"/>
          <w:highlight w:val="none"/>
        </w:rPr>
      </w:pPr>
    </w:p>
    <w:p w14:paraId="4198D05B">
      <w:pPr>
        <w:rPr>
          <w:rFonts w:hint="eastAsia"/>
          <w:color w:val="auto"/>
          <w:sz w:val="36"/>
          <w:szCs w:val="48"/>
          <w:highlight w:val="none"/>
        </w:rPr>
      </w:pPr>
    </w:p>
    <w:p w14:paraId="1E7CD542">
      <w:pPr>
        <w:rPr>
          <w:rFonts w:hint="eastAsia"/>
          <w:color w:val="auto"/>
          <w:sz w:val="36"/>
          <w:szCs w:val="48"/>
          <w:highlight w:val="none"/>
        </w:rPr>
      </w:pPr>
    </w:p>
    <w:p w14:paraId="66A70463">
      <w:pPr>
        <w:rPr>
          <w:rFonts w:hint="eastAsia"/>
          <w:color w:val="auto"/>
          <w:sz w:val="36"/>
          <w:szCs w:val="48"/>
          <w:highlight w:val="none"/>
        </w:rPr>
      </w:pPr>
    </w:p>
    <w:p w14:paraId="57BC9249">
      <w:pPr>
        <w:rPr>
          <w:rFonts w:hint="eastAsia"/>
          <w:color w:val="auto"/>
          <w:sz w:val="36"/>
          <w:szCs w:val="48"/>
          <w:highlight w:val="none"/>
        </w:rPr>
      </w:pPr>
    </w:p>
    <w:p w14:paraId="432F58B2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DCE27B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84A4A3"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6B6A3D76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536978B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7F0ADD83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06253B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0C8A9D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2673C89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F05930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B8ABA2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59243C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BD03F1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B6956F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BDF1E1B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7EDBFE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D78A84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CD6A3F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29DD2DA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501AD9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70882AC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A0634AA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33EBCD3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5D71C683">
      <w:pPr>
        <w:pStyle w:val="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55340BF4">
      <w:pPr>
        <w:pStyle w:val="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5B71504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4BD68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0BF88B32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123D1C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27D7C3DB">
      <w:pPr>
        <w:pStyle w:val="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544B831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7066E1CC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0D17C5E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B39DE59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CCBECC5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2724CC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10BF9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23A0366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75CAF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552045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09584D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20787CB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04CF94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5B931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511170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884163A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51E0994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0A2A7E5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F1956D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69F8371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612AEE1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4149EC22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28F21B88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4E5D196A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FCDAA4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540F7F8F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78A5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5334B2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3EFC768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19A905A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0F4877B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61DBE6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2CA12AF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3D436C31">
      <w:pPr>
        <w:pStyle w:val="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6D4F213">
      <w:pPr>
        <w:pStyle w:val="5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EA9B80F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D6C7D13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AF14A7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73C3DF1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D3D809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C83EDE3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A019B07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6301524C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A86265A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1F82009D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8053B4E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26E3D2E8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9AE708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1716D6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016CC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7186F18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26AB7EB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7B11812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16DC5E2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75D6AB4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D8A5EC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46F2180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1937A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0DAE7036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7D78275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BDB2D50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37E8BC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16FD3B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18166B8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21A9A8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6C0B1B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93F15D5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08391EE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616166CC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282A6B67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318D83C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7C05417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E7CB87F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55FE080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28440B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本</w:t>
      </w:r>
      <w:r>
        <w:rPr>
          <w:rFonts w:hint="eastAsia" w:eastAsia="仿宋_GB2312"/>
          <w:color w:val="auto"/>
          <w:sz w:val="28"/>
          <w:szCs w:val="28"/>
          <w:highlight w:val="none"/>
        </w:rPr>
        <w:t>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0D810D96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51C494F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525A2AA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A77DF6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8F345C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F0FE4B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4087EF90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3A368A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06674B1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6654057C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1F88EAED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0279BBA8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BBEEFD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4CD9D53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5166F260">
      <w:pPr>
        <w:pStyle w:val="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D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5D6F5D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57E4C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7D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7BE56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339C3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18CABF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60266E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9CB5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17E9C5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170722D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54AD33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D3C1B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A20917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E56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4929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1E6FDF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6EF092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CE615A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617CFB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E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0AF53C3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014FB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E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BA74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36525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F1E87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C76B5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65CDE0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BB6DF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1B8C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C0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12CC73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541845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677B258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07A227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533FC17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ECB76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30F7D4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58D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DE9E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0F7B9F4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C072F7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5FF25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23C868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9FA7D9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03466B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2536B8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997D64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8BE0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2200F6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3CFB7F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FAC8E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2C293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C2E4C4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B16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202142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49FC7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0BB9B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C48F6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0C19708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C82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374991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010EA5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D7E80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D3CEBD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585AC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959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04B138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718144A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404428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067C3E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2A3269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8E1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248E6BC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049BF20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029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7CFEDA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7EFE191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A7556D4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90BF87D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0766F67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94F5946">
      <w:pPr>
        <w:pStyle w:val="6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502D8CF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D5AE81B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27F9406D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2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54BD3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85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5D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E250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58E53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09D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AEDB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3622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72708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6958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23A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70D1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5C8D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58F97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FF5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7725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B0C8F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83FA9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93AF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3D5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307F9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C80F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2F4D8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DE04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FFF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A785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643B1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927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18C15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79D1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DB27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64C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7620C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9F09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D28E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5DD9A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2E24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CDF8A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AF0D0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D60C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4FD2E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636CF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8E7BA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2B6E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E50E5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5915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4957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16C28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67D5B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B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3A96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F77B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CA16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EC34B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CED8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2250F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9565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CA0B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A9C3F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FD3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C938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ACA98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99AF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360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B164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C0B8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B5FD3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B65F7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E1B98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CF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ED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DFE2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BCE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6B9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F55F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46A2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97314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ACBF6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295ACB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FAC015">
      <w:pPr>
        <w:pStyle w:val="5"/>
      </w:pPr>
    </w:p>
    <w:p w14:paraId="05A893A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F67C9B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D3894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6980EC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2E497F1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21A4FD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E3C926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142406E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F51BB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27B846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9784C1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34FB0B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4E4139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4B4DFB47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5E4A94CD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50915465">
      <w:pPr>
        <w:pStyle w:val="5"/>
        <w:rPr>
          <w:rFonts w:hint="eastAsia"/>
        </w:rPr>
      </w:pPr>
    </w:p>
    <w:p w14:paraId="6727449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394AB80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76340E15">
      <w:pPr>
        <w:jc w:val="center"/>
        <w:rPr>
          <w:rFonts w:hint="eastAsia"/>
          <w:b/>
          <w:sz w:val="32"/>
          <w:szCs w:val="32"/>
        </w:rPr>
      </w:pPr>
    </w:p>
    <w:p w14:paraId="41D6747C">
      <w:pPr>
        <w:jc w:val="center"/>
        <w:rPr>
          <w:rFonts w:hint="eastAsia"/>
          <w:b/>
          <w:sz w:val="32"/>
          <w:szCs w:val="32"/>
        </w:rPr>
      </w:pPr>
    </w:p>
    <w:p w14:paraId="19DC7E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82B3E81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75C7CAB">
      <w:pPr>
        <w:pStyle w:val="5"/>
      </w:pPr>
    </w:p>
    <w:tbl>
      <w:tblPr>
        <w:tblStyle w:val="12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39B5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36AD2E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60D8D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5C201F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5DF88D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0DAE4A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5A843C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59F811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094D33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5F2697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01EAC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3A954F5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4465CC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704DFE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0F19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E0F81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5E4CB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DFFF2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6D5B0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8E5F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A063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DD3A8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EFE71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6F906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19E62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3769B9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6CDD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BCFF3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BA099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9E08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A9306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B00C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75B7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7938C5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F34682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6D75AE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BE790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22D627E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3D93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332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4C5D68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1E783F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C4E3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F3087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313968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DD0E7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FE819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BA4F8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5CA5E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851F85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1721D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7FD1E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0D49B6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D7921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28FB9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A147C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A5AF4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0D70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3ED94F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8F88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9FE22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5EA0887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E281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047608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FBED1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784C2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6C58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A08D3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A065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E56B7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6FA4C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F062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084FAE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2C39F5AA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12E923BB">
      <w:r>
        <w:rPr>
          <w:rFonts w:hint="eastAsia"/>
        </w:rPr>
        <w:t xml:space="preserve">                       </w:t>
      </w:r>
    </w:p>
    <w:p w14:paraId="222C9C17">
      <w:pPr>
        <w:ind w:firstLine="210" w:firstLineChars="100"/>
      </w:pPr>
    </w:p>
    <w:p w14:paraId="2E5B7295">
      <w:pPr>
        <w:ind w:firstLine="210" w:firstLineChars="100"/>
      </w:pPr>
    </w:p>
    <w:p w14:paraId="3D4D55EF"/>
    <w:p w14:paraId="1448E936">
      <w:pPr>
        <w:ind w:firstLine="210" w:firstLineChars="100"/>
      </w:pPr>
      <w:r>
        <w:rPr>
          <w:rFonts w:hint="eastAsia"/>
        </w:rPr>
        <w:t>报价人签名：</w:t>
      </w:r>
    </w:p>
    <w:p w14:paraId="3B3BD3B3">
      <w:pPr>
        <w:ind w:firstLine="210" w:firstLineChars="100"/>
      </w:pPr>
    </w:p>
    <w:p w14:paraId="3B623E9E">
      <w:pPr>
        <w:ind w:firstLine="210" w:firstLineChars="100"/>
      </w:pPr>
      <w:r>
        <w:rPr>
          <w:rFonts w:hint="eastAsia"/>
        </w:rPr>
        <w:t>联系电话：</w:t>
      </w:r>
    </w:p>
    <w:p w14:paraId="6AFEBD21">
      <w:pPr>
        <w:pStyle w:val="5"/>
        <w:spacing w:after="0"/>
        <w:rPr>
          <w:sz w:val="24"/>
        </w:rPr>
      </w:pPr>
    </w:p>
    <w:p w14:paraId="475205C3">
      <w:pPr>
        <w:pStyle w:val="6"/>
        <w:rPr>
          <w:sz w:val="24"/>
        </w:rPr>
      </w:pPr>
    </w:p>
    <w:p w14:paraId="39074849">
      <w:pPr>
        <w:rPr>
          <w:sz w:val="24"/>
        </w:rPr>
      </w:pPr>
    </w:p>
    <w:p w14:paraId="7FBB8CA1">
      <w:pPr>
        <w:pStyle w:val="5"/>
        <w:rPr>
          <w:sz w:val="24"/>
        </w:rPr>
      </w:pPr>
    </w:p>
    <w:p w14:paraId="281FBE71">
      <w:pPr>
        <w:pStyle w:val="6"/>
        <w:rPr>
          <w:sz w:val="24"/>
        </w:rPr>
      </w:pPr>
    </w:p>
    <w:p w14:paraId="23D68920">
      <w:pPr>
        <w:rPr>
          <w:sz w:val="24"/>
        </w:rPr>
      </w:pPr>
    </w:p>
    <w:p w14:paraId="45F4C79A">
      <w:pPr>
        <w:pStyle w:val="6"/>
        <w:rPr>
          <w:sz w:val="24"/>
        </w:rPr>
      </w:pPr>
    </w:p>
    <w:p w14:paraId="09638AEE"/>
    <w:p w14:paraId="15DB98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DA3903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2DCA5E32">
      <w:pPr>
        <w:pStyle w:val="5"/>
      </w:pPr>
    </w:p>
    <w:tbl>
      <w:tblPr>
        <w:tblStyle w:val="12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2776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13F46E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AAF53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0478B9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6D96C8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13A29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2D150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61395323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422ACB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54C93D1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4659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523A65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651D4C1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6B4D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E6163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C8AF7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08F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8455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267BF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A4C5C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0A53C9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F45F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EE87976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79900DA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1A93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998D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D4C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A4A36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04538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D549A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AF5BB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7971BD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8269C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2C34A8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DBD993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AE8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6E81C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54309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3CC4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CC12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541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1A324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103D5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A5913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C5A5B42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EEDD606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B42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C7BB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A949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686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4C86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111FC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C25EA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D18D56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C976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A16DF04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21F9604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64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04B4D5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D7EC1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15B5F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B5FC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0DCBB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713FC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1D85F3D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379C4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7D067B6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8AE53C6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CB4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39227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707E1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30461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ABA4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915A9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076CD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F3E9D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C765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90DC624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1BFDB142">
            <w:pPr>
              <w:pStyle w:val="7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67FA9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2CFC0F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F21C02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4DE4C1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C2CFD8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A1E06E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E7070A1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5D6AB8F8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 w14:paraId="58E43825">
      <w:pPr>
        <w:pStyle w:val="5"/>
      </w:pPr>
      <w:r>
        <w:rPr>
          <w:rFonts w:hint="eastAsia" w:cs="Calibri"/>
        </w:rPr>
        <w:t>2. .................................</w:t>
      </w:r>
    </w:p>
    <w:p w14:paraId="72B97559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7F434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625E6C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4D8E6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9FE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CE300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35C8A37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4A44CD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11AF300"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FB301">
    <w:pPr>
      <w:pStyle w:val="8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5A923537">
        <w:pPr>
          <w:pStyle w:val="8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FAEA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B72B8A">
                          <w:pPr>
                            <w:pStyle w:val="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B72B8A">
                    <w:pPr>
                      <w:pStyle w:val="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7CB0"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8AA65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8AA65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E6DDB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YTRhMTVjMzgzMTQxZDk3NDc3ZGRjZDY3YWVhYTIifQ=="/>
  </w:docVars>
  <w:rsids>
    <w:rsidRoot w:val="730F05C0"/>
    <w:rsid w:val="01311569"/>
    <w:rsid w:val="0E8841E4"/>
    <w:rsid w:val="178405E9"/>
    <w:rsid w:val="17B2302E"/>
    <w:rsid w:val="1D9A4023"/>
    <w:rsid w:val="22A57805"/>
    <w:rsid w:val="232B7289"/>
    <w:rsid w:val="23BF4AFE"/>
    <w:rsid w:val="23C91E2B"/>
    <w:rsid w:val="2BE45B64"/>
    <w:rsid w:val="2D1C5657"/>
    <w:rsid w:val="2ED41B53"/>
    <w:rsid w:val="32A76F70"/>
    <w:rsid w:val="32D32370"/>
    <w:rsid w:val="382D70D0"/>
    <w:rsid w:val="386D2F7B"/>
    <w:rsid w:val="39836BCF"/>
    <w:rsid w:val="3C301E9B"/>
    <w:rsid w:val="423751DF"/>
    <w:rsid w:val="43700CF8"/>
    <w:rsid w:val="44C26429"/>
    <w:rsid w:val="48A90B28"/>
    <w:rsid w:val="49C7499F"/>
    <w:rsid w:val="4AE81F58"/>
    <w:rsid w:val="4FF141DC"/>
    <w:rsid w:val="5B7C6F8D"/>
    <w:rsid w:val="5C8B7658"/>
    <w:rsid w:val="62181518"/>
    <w:rsid w:val="62305731"/>
    <w:rsid w:val="6A2E664D"/>
    <w:rsid w:val="6C666A35"/>
    <w:rsid w:val="6E1D781F"/>
    <w:rsid w:val="6ED73A21"/>
    <w:rsid w:val="6F6B780E"/>
    <w:rsid w:val="72590FC1"/>
    <w:rsid w:val="730F05C0"/>
    <w:rsid w:val="73AB0CD2"/>
    <w:rsid w:val="73B170C4"/>
    <w:rsid w:val="771B5F05"/>
    <w:rsid w:val="7DAA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6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Table Paragraph"/>
    <w:basedOn w:val="1"/>
    <w:qFormat/>
    <w:uiPriority w:val="1"/>
    <w:pPr>
      <w:spacing w:line="309" w:lineRule="exact"/>
    </w:p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3724</Words>
  <Characters>4002</Characters>
  <Lines>0</Lines>
  <Paragraphs>0</Paragraphs>
  <TotalTime>0</TotalTime>
  <ScaleCrop>false</ScaleCrop>
  <LinksUpToDate>false</LinksUpToDate>
  <CharactersWithSpaces>4547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*</cp:lastModifiedBy>
  <dcterms:modified xsi:type="dcterms:W3CDTF">2025-04-25T02:47:22Z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A6027F2C030143F3B6F7A6858E47C4AE_13</vt:lpwstr>
  </property>
  <property fmtid="{D5CDD505-2E9C-101B-9397-08002B2CF9AE}" pid="4" name="KSOTemplateDocerSaveRecord">
    <vt:lpwstr>eyJoZGlkIjoiMzRkYTRhMTVjMzgzMTQxZDk3NDc3ZGRjZDY3YWVhYTIiLCJ1c2VySWQiOiIzMzU3MDAyMzYifQ==</vt:lpwstr>
  </property>
</Properties>
</file>