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共享轮椅服务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153D40D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21日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16543"/>
      <w:bookmarkStart w:id="2" w:name="_Toc42014953"/>
      <w:bookmarkStart w:id="3" w:name="_Toc12690"/>
      <w:bookmarkStart w:id="4" w:name="_Toc519708707"/>
      <w:bookmarkStart w:id="5" w:name="_Toc25494"/>
      <w:bookmarkStart w:id="6" w:name="_Toc42015219"/>
      <w:bookmarkStart w:id="7" w:name="_Toc3169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根据我院建设工作需要，拟对“共享轮椅服务”进行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项目名称：广元市中心医院关于共享轮椅服务的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</w:t>
      </w:r>
      <w:bookmarkStart w:id="42" w:name="_GoBack"/>
      <w:bookmarkEnd w:id="4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21日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两本，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一正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副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6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7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7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7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7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7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2952"/>
      <w:bookmarkStart w:id="9" w:name="_Toc42015220"/>
      <w:bookmarkStart w:id="10" w:name="_Toc13516"/>
      <w:bookmarkStart w:id="11" w:name="_Toc9341"/>
      <w:bookmarkStart w:id="12" w:name="_Toc10579"/>
      <w:bookmarkStart w:id="13" w:name="_Toc514409265"/>
      <w:bookmarkStart w:id="14" w:name="_Toc519708708"/>
      <w:bookmarkStart w:id="15" w:name="_Toc9714"/>
      <w:bookmarkStart w:id="16" w:name="_Toc24738"/>
      <w:bookmarkStart w:id="17" w:name="_Toc8915"/>
      <w:bookmarkStart w:id="18" w:name="_Toc10646"/>
      <w:bookmarkStart w:id="19" w:name="_Toc42015019"/>
      <w:bookmarkStart w:id="20" w:name="_Toc514424483"/>
      <w:bookmarkStart w:id="21" w:name="_Toc15278"/>
      <w:bookmarkStart w:id="22" w:name="_Toc5155"/>
      <w:bookmarkStart w:id="23" w:name="_Toc42014954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5373"/>
      <w:bookmarkStart w:id="25" w:name="_Toc36199918"/>
      <w:bookmarkStart w:id="26" w:name="_Toc19542"/>
      <w:bookmarkStart w:id="27" w:name="_Toc751"/>
      <w:bookmarkStart w:id="28" w:name="_Toc42014957"/>
      <w:bookmarkStart w:id="29" w:name="_Toc25115"/>
      <w:bookmarkStart w:id="30" w:name="_Toc42015223"/>
      <w:bookmarkStart w:id="31" w:name="_Toc21920"/>
      <w:bookmarkStart w:id="32" w:name="_Toc42015022"/>
      <w:bookmarkStart w:id="33" w:name="_Toc7672"/>
      <w:bookmarkStart w:id="34" w:name="_Toc7099"/>
      <w:bookmarkStart w:id="35" w:name="_Toc27016"/>
      <w:bookmarkStart w:id="36" w:name="_Toc16088"/>
    </w:p>
    <w:p w14:paraId="3ACCDDF5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BC6BB56">
      <w:pPr>
        <w:snapToGrid w:val="0"/>
        <w:spacing w:line="4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160C14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1.服务期限：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 自合同签订之日起 3年。</w:t>
      </w:r>
    </w:p>
    <w:p w14:paraId="5C13B60C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2.服务内容：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 在医院指定公共区域（门诊、急诊、住院部等）投放、运营、维护共享轮椅，为患者提供便捷、安全、有偿的租借服务。供应商负责所有设备、技术、运维、保险及客服，医院提供场地及基础电力支持。</w:t>
      </w:r>
    </w:p>
    <w:p w14:paraId="7ED3641B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3.设备要求：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共享轮椅必须为全新产品，符合国家相关质量与安全标准，坚固耐用、易于消毒。需提供产品质量检测报告。</w:t>
      </w:r>
    </w:p>
    <w:p w14:paraId="0D86E27A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4.运营要求：</w:t>
      </w:r>
    </w:p>
    <w:p w14:paraId="2D04084B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租借方式：微信/支付宝扫码，流程简单。</w:t>
      </w:r>
    </w:p>
    <w:p w14:paraId="490E065C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运维响应：设立本地运维团队，接到故障报告后 2小时内到场处理。</w:t>
      </w:r>
    </w:p>
    <w:p w14:paraId="0592898B">
      <w:pPr>
        <w:bidi w:val="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消毒管理：每辆轮椅每日至少消毒一次，并配备专用消毒设备及记录。</w:t>
      </w:r>
    </w:p>
    <w:p w14:paraId="36735E3F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5.数据与结算要求：</w:t>
      </w:r>
    </w:p>
    <w:p w14:paraId="0BB04DA5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供应商必须向医院开放运营数据后台，以便医院实时监督交易流水。</w:t>
      </w:r>
    </w:p>
    <w:p w14:paraId="6D1275D6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所有租金收入必须通过供应商官方支付渠道结算，确保数据真实、可追溯。</w:t>
      </w:r>
    </w:p>
    <w:p w14:paraId="6D3FFAE6">
      <w:pPr>
        <w:numPr>
          <w:ilvl w:val="0"/>
          <w:numId w:val="4"/>
        </w:num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保险要求：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供应商必须为使用轮椅的患者购买足额的公众责任险。</w:t>
      </w:r>
    </w:p>
    <w:p w14:paraId="1A773A4A">
      <w:pPr>
        <w:numPr>
          <w:numId w:val="0"/>
        </w:num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03713BC7">
      <w:pPr>
        <w:numPr>
          <w:numId w:val="0"/>
        </w:num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4D1089B5">
      <w:pPr>
        <w:numPr>
          <w:numId w:val="0"/>
        </w:num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4"/>
        <w:gridCol w:w="2160"/>
        <w:gridCol w:w="3168"/>
        <w:gridCol w:w="2131"/>
      </w:tblGrid>
      <w:tr w14:paraId="0D07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4" w:type="dxa"/>
          </w:tcPr>
          <w:p w14:paraId="3AF9007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60" w:type="dxa"/>
          </w:tcPr>
          <w:p w14:paraId="08EE5057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报价内容</w:t>
            </w:r>
          </w:p>
        </w:tc>
        <w:tc>
          <w:tcPr>
            <w:tcW w:w="3168" w:type="dxa"/>
          </w:tcPr>
          <w:p w14:paraId="7CB1827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说明与要求</w:t>
            </w:r>
          </w:p>
        </w:tc>
        <w:tc>
          <w:tcPr>
            <w:tcW w:w="2131" w:type="dxa"/>
          </w:tcPr>
          <w:p w14:paraId="6AEEAC4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响应人填写</w:t>
            </w:r>
          </w:p>
        </w:tc>
      </w:tr>
      <w:tr w14:paraId="34FF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4" w:type="dxa"/>
          </w:tcPr>
          <w:p w14:paraId="723A8F4A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59FA95C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60" w:type="dxa"/>
          </w:tcPr>
          <w:p w14:paraId="660980C2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医院年度分成比例</w:t>
            </w:r>
          </w:p>
        </w:tc>
        <w:tc>
          <w:tcPr>
            <w:tcW w:w="3168" w:type="dxa"/>
          </w:tcPr>
          <w:p w14:paraId="4C099F57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指医院从项目</w:t>
            </w:r>
            <w:r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 全部租金总收入 中分得的百分比。</w:t>
            </w:r>
          </w:p>
        </w:tc>
        <w:tc>
          <w:tcPr>
            <w:tcW w:w="2131" w:type="dxa"/>
          </w:tcPr>
          <w:p w14:paraId="166710ED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86B7835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_______ %</w:t>
            </w:r>
          </w:p>
        </w:tc>
      </w:tr>
      <w:tr w14:paraId="6E2C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4" w:type="dxa"/>
          </w:tcPr>
          <w:p w14:paraId="4447C3B4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1684A49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691B07B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60" w:type="dxa"/>
          </w:tcPr>
          <w:p w14:paraId="41756F74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4323995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5593989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年度保底分成金额</w:t>
            </w:r>
          </w:p>
        </w:tc>
        <w:tc>
          <w:tcPr>
            <w:tcW w:w="3168" w:type="dxa"/>
          </w:tcPr>
          <w:p w14:paraId="1C8DD2BA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指无论项目实际收入多少，每个合同年度支付给医院的</w:t>
            </w:r>
            <w:r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最低保证金额。</w:t>
            </w:r>
          </w:p>
          <w:p w14:paraId="4BB03933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若结算时，年度分成金额低于保底分成金额，按年度保底分成金额支付。</w:t>
            </w:r>
          </w:p>
        </w:tc>
        <w:tc>
          <w:tcPr>
            <w:tcW w:w="2131" w:type="dxa"/>
          </w:tcPr>
          <w:p w14:paraId="1B1BB285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2CDC31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1FAE18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_______ 元</w:t>
            </w:r>
          </w:p>
        </w:tc>
      </w:tr>
    </w:tbl>
    <w:p w14:paraId="198D1E6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报价说明：</w:t>
      </w:r>
    </w:p>
    <w:p w14:paraId="21DB054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以上报价为含税价。</w:t>
      </w:r>
    </w:p>
    <w:p w14:paraId="2CC92261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分成收入由医院开具发票，相关税费由供应商承担。</w:t>
      </w:r>
    </w:p>
    <w:p w14:paraId="71D7340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此报价在服务期内固定不变。</w:t>
      </w:r>
    </w:p>
    <w:p w14:paraId="229FF64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21E715E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0BAE8F5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5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eastAsia="仿宋_GB2312"/>
          <w:color w:val="auto"/>
          <w:sz w:val="28"/>
          <w:szCs w:val="28"/>
          <w:highlight w:val="none"/>
        </w:rPr>
        <w:t>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报价函（格式自拟）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2B510929">
      <w:pPr>
        <w:jc w:val="center"/>
        <w:rPr>
          <w:rFonts w:hint="eastAsia"/>
          <w:b/>
          <w:sz w:val="32"/>
          <w:szCs w:val="32"/>
        </w:rPr>
      </w:pPr>
    </w:p>
    <w:p w14:paraId="0A38C49A">
      <w:pPr>
        <w:jc w:val="center"/>
        <w:rPr>
          <w:rFonts w:hint="eastAsia"/>
          <w:b/>
          <w:sz w:val="32"/>
          <w:szCs w:val="32"/>
        </w:rPr>
      </w:pPr>
    </w:p>
    <w:p w14:paraId="47A73666">
      <w:pPr>
        <w:jc w:val="center"/>
        <w:rPr>
          <w:rFonts w:hint="eastAsia"/>
          <w:b/>
          <w:sz w:val="32"/>
          <w:szCs w:val="32"/>
        </w:rPr>
      </w:pP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53CE8649">
      <w:pPr>
        <w:jc w:val="center"/>
        <w:rPr>
          <w:rFonts w:hint="eastAsia"/>
          <w:b/>
          <w:sz w:val="32"/>
          <w:szCs w:val="32"/>
        </w:rPr>
      </w:pPr>
    </w:p>
    <w:p w14:paraId="09342C4C">
      <w:pPr>
        <w:jc w:val="center"/>
        <w:rPr>
          <w:rFonts w:hint="eastAsia"/>
          <w:b/>
          <w:sz w:val="32"/>
          <w:szCs w:val="32"/>
        </w:rPr>
      </w:pPr>
    </w:p>
    <w:p w14:paraId="025A4B87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</w:pPr>
    </w:p>
    <w:p w14:paraId="3E479984">
      <w:pPr>
        <w:jc w:val="center"/>
        <w:rPr>
          <w:rFonts w:hint="eastAsia"/>
          <w:b/>
          <w:sz w:val="32"/>
          <w:szCs w:val="32"/>
        </w:rPr>
      </w:pPr>
    </w:p>
    <w:p w14:paraId="5F64A9CC">
      <w:pPr>
        <w:jc w:val="center"/>
        <w:rPr>
          <w:rFonts w:hint="eastAsia"/>
          <w:b/>
          <w:sz w:val="32"/>
          <w:szCs w:val="32"/>
        </w:rPr>
      </w:pPr>
    </w:p>
    <w:p w14:paraId="72AEA5A9">
      <w:pPr>
        <w:jc w:val="center"/>
        <w:rPr>
          <w:rFonts w:hint="eastAsia"/>
          <w:b/>
          <w:sz w:val="32"/>
          <w:szCs w:val="32"/>
        </w:rPr>
      </w:pPr>
    </w:p>
    <w:p w14:paraId="6601B3FE">
      <w:pPr>
        <w:jc w:val="center"/>
        <w:rPr>
          <w:rFonts w:hint="eastAsia"/>
          <w:b/>
          <w:sz w:val="32"/>
          <w:szCs w:val="32"/>
        </w:rPr>
      </w:pPr>
    </w:p>
    <w:p w14:paraId="254DF8A1">
      <w:pPr>
        <w:jc w:val="center"/>
        <w:rPr>
          <w:rFonts w:hint="eastAsia"/>
          <w:b/>
          <w:sz w:val="32"/>
          <w:szCs w:val="32"/>
        </w:rPr>
      </w:pPr>
    </w:p>
    <w:p w14:paraId="39A243D7">
      <w:pPr>
        <w:jc w:val="center"/>
        <w:rPr>
          <w:rFonts w:hint="eastAsia"/>
          <w:b/>
          <w:sz w:val="32"/>
          <w:szCs w:val="32"/>
        </w:rPr>
      </w:pPr>
    </w:p>
    <w:p w14:paraId="6BB0A60B">
      <w:pPr>
        <w:jc w:val="center"/>
        <w:rPr>
          <w:rFonts w:hint="eastAsia"/>
          <w:b/>
          <w:sz w:val="32"/>
          <w:szCs w:val="32"/>
        </w:rPr>
      </w:pPr>
    </w:p>
    <w:p w14:paraId="56EB09B1">
      <w:pPr>
        <w:jc w:val="center"/>
        <w:rPr>
          <w:rFonts w:hint="eastAsia"/>
          <w:b/>
          <w:sz w:val="32"/>
          <w:szCs w:val="32"/>
        </w:rPr>
      </w:pPr>
    </w:p>
    <w:p w14:paraId="2B63DA68">
      <w:pPr>
        <w:jc w:val="center"/>
        <w:rPr>
          <w:rFonts w:hint="eastAsia"/>
          <w:b/>
          <w:sz w:val="32"/>
          <w:szCs w:val="32"/>
        </w:rPr>
      </w:pPr>
    </w:p>
    <w:p w14:paraId="20E0AEF9">
      <w:pPr>
        <w:jc w:val="center"/>
        <w:rPr>
          <w:rFonts w:hint="eastAsia"/>
          <w:b/>
          <w:sz w:val="32"/>
          <w:szCs w:val="32"/>
        </w:rPr>
      </w:pPr>
    </w:p>
    <w:p w14:paraId="159D44D1">
      <w:pPr>
        <w:jc w:val="center"/>
        <w:rPr>
          <w:rFonts w:hint="eastAsia"/>
          <w:b/>
          <w:sz w:val="32"/>
          <w:szCs w:val="32"/>
        </w:rPr>
      </w:pPr>
    </w:p>
    <w:p w14:paraId="2FA572F4">
      <w:pPr>
        <w:jc w:val="center"/>
        <w:rPr>
          <w:rFonts w:hint="eastAsia"/>
          <w:b/>
          <w:sz w:val="32"/>
          <w:szCs w:val="32"/>
        </w:rPr>
      </w:pPr>
    </w:p>
    <w:p w14:paraId="1F2AD330">
      <w:pPr>
        <w:jc w:val="center"/>
        <w:rPr>
          <w:rFonts w:hint="eastAsia"/>
          <w:b/>
          <w:sz w:val="32"/>
          <w:szCs w:val="32"/>
        </w:rPr>
      </w:pPr>
    </w:p>
    <w:p w14:paraId="244B8FF2">
      <w:pPr>
        <w:jc w:val="center"/>
        <w:rPr>
          <w:rFonts w:hint="eastAsia"/>
          <w:b/>
          <w:sz w:val="32"/>
          <w:szCs w:val="32"/>
        </w:rPr>
      </w:pPr>
    </w:p>
    <w:p w14:paraId="76540C39">
      <w:pPr>
        <w:jc w:val="center"/>
        <w:rPr>
          <w:rFonts w:hint="eastAsia"/>
          <w:b/>
          <w:sz w:val="32"/>
          <w:szCs w:val="32"/>
        </w:r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266B3331">
      <w:r>
        <w:rPr>
          <w:rFonts w:hint="eastAsia" w:cs="Calibri"/>
        </w:rPr>
        <w:t>1. .</w:t>
      </w:r>
    </w:p>
    <w:p w14:paraId="7614751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E8972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B19318-A98D-45A1-80D0-D365753A876D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2EF5AE-0F69-48F8-8952-46204F718B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5A5ED8B-965B-4879-B4CE-CB9B583B37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BABA2F-795D-4278-B575-A6AF92BD69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7526DD8-27CC-41E5-B197-34E70C03FF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92FA287-3937-4A99-AF81-C8458E258877}"/>
  </w:font>
  <w:font w:name="WPSEMBED2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E72F110D"/>
    <w:multiLevelType w:val="singleLevel"/>
    <w:tmpl w:val="E72F110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ABE1F44"/>
    <w:rsid w:val="15261728"/>
    <w:rsid w:val="15E244AA"/>
    <w:rsid w:val="1A5F4523"/>
    <w:rsid w:val="1C0C5403"/>
    <w:rsid w:val="1D9A4023"/>
    <w:rsid w:val="23C91E2B"/>
    <w:rsid w:val="29812E5D"/>
    <w:rsid w:val="2A8B7E3A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5FF596A"/>
    <w:rsid w:val="37B21CF6"/>
    <w:rsid w:val="40F02EDD"/>
    <w:rsid w:val="44C26429"/>
    <w:rsid w:val="45232927"/>
    <w:rsid w:val="45CF482F"/>
    <w:rsid w:val="4669507C"/>
    <w:rsid w:val="48A90B28"/>
    <w:rsid w:val="49C7499F"/>
    <w:rsid w:val="4A717C55"/>
    <w:rsid w:val="4AE60387"/>
    <w:rsid w:val="50457826"/>
    <w:rsid w:val="508D296A"/>
    <w:rsid w:val="551E5284"/>
    <w:rsid w:val="61CE2A1B"/>
    <w:rsid w:val="62837576"/>
    <w:rsid w:val="64925121"/>
    <w:rsid w:val="650359EB"/>
    <w:rsid w:val="66F07485"/>
    <w:rsid w:val="67D02B0E"/>
    <w:rsid w:val="69682B6E"/>
    <w:rsid w:val="6AD05FFD"/>
    <w:rsid w:val="6AD06983"/>
    <w:rsid w:val="6B3B172C"/>
    <w:rsid w:val="6C666A35"/>
    <w:rsid w:val="6E1D781F"/>
    <w:rsid w:val="6ED73A21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TML Code"/>
    <w:basedOn w:val="13"/>
    <w:uiPriority w:val="0"/>
    <w:rPr>
      <w:rFonts w:ascii="Courier New" w:hAnsi="Courier New"/>
      <w:sz w:val="20"/>
    </w:rPr>
  </w:style>
  <w:style w:type="paragraph" w:customStyle="1" w:styleId="16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7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2377</Words>
  <Characters>2539</Characters>
  <Lines>0</Lines>
  <Paragraphs>0</Paragraphs>
  <TotalTime>34</TotalTime>
  <ScaleCrop>false</ScaleCrop>
  <LinksUpToDate>false</LinksUpToDate>
  <CharactersWithSpaces>2598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cp:lastPrinted>2026-01-21T08:37:57Z</cp:lastPrinted>
  <dcterms:modified xsi:type="dcterms:W3CDTF">2026-01-21T08:49:09Z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8D6E201D95464EEFA68E04BB6F009649_13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