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451A">
      <w:pPr>
        <w:spacing w:line="560" w:lineRule="exact"/>
        <w:ind w:firstLine="880" w:firstLineChars="20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广元市中心医院“互联网+护理”服务项目建设要求</w:t>
      </w:r>
    </w:p>
    <w:p w14:paraId="6A20CEB1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一、基本要求</w:t>
      </w:r>
    </w:p>
    <w:tbl>
      <w:tblPr>
        <w:tblStyle w:val="9"/>
        <w:tblW w:w="8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29"/>
        <w:gridCol w:w="3969"/>
        <w:gridCol w:w="709"/>
        <w:gridCol w:w="850"/>
        <w:gridCol w:w="766"/>
      </w:tblGrid>
      <w:tr w14:paraId="37C1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shd w:val="clear" w:color="auto" w:fill="FFFFFF"/>
            <w:vAlign w:val="center"/>
          </w:tcPr>
          <w:p w14:paraId="088C7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7BB0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4"/>
                <w:lang w:bidi="ar"/>
              </w:rPr>
              <w:t>类别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12DB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4"/>
                <w:lang w:bidi="ar"/>
              </w:rPr>
              <w:t>服务名称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10B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9E1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32E1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4"/>
              </w:rPr>
              <w:t>备注</w:t>
            </w:r>
          </w:p>
        </w:tc>
      </w:tr>
      <w:tr w14:paraId="4F28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7897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58204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互联网+护理服务系统：患者端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5A5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服务资源：依据服务类别对项目进行分类展示，同时呈现最新服务、推荐服务、专家及机构信息，以便患者便捷地进行查询；提供全局搜索及项目名称搜索功能，帮助患者迅速锁定所需服务或商品；展示服务项目的详细介绍、价格、预约数量、预约须知以及用户评价等详尽资料；首页动态滚动展示用户下单情况，营造出活跃的氛围；支持关注医护人员功能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0C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71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842C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3059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52393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7822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FDC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自助护理服务：支持用户自行下单并预约护理人员上门服务，明确具体的服务需求，支持自动或手动输入地址，并提供线上签署《知情同意书》的功能；若用户在规定时间内未完成支付，预约将自动取消；支持通过核验二维码或手机号码进行身份验证，确保服务的准确性；支持自动结算费用，并支持线上支付耗材、路程及服务费用，同时处理追加订单的费用及退款事宜；支持调用地图功能以计算路程距离，从而确认上门服务的费用；支持接收到重点消息提醒，并可在订单详情中查看不同状态的提醒信息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67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EC5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4404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259A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351E1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21C4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280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健康宣教：支持查看健康宣教文章、视频功能，推荐相应的上门护理服务，并实现直接跳转至购买界面；支持展示启动画面活动信息，用户点击后可直接跳转至相关活动或服务的购买页面。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5A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E9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A079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4D4B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4E55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45749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85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管理功能：支持账户身份管理，包括获取用户授权以创建账号，执行实名认证以确认就诊人身份，并能够绑定多个就诊人；用户可管理个人信息，如绑定微信账号、维护服务地址以及更新个人信息。提供全天候在线客服支持，工作时间内用户可通过电话联系，同时AI客服能够智能解答常见问题。订单管理功能允许用户在首页查看下单动态，浏览护理服务记录，并对已完成的服务进行评价，以便于用户便捷地进行再次预约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E02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EC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5E7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1181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655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5B7B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互联网+护理服务系统：医护端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46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服务过程管理：支持查看订单距离，通过嵌入百度、高德等地图导航；支持通过虚拟号码联系患者；支持现场签到/签退，监控服务时长，处理超时、加单及医疗垃圾并拍照上传；与用户确认后修改上门服务时间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9D6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88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796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6D41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25A8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548B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6E4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护士安全：提供身份验证支持，确保在签到环节对患者身份进行核实；配备一键报警功能，能够在紧急情况下向管理人员发送精确的地理位置信息。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CF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6D2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563C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591D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1FD2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712FD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A72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业务设置：支持开启或关闭护理服务项目；支持自动或手动排班，排班时间接收预约；支持接收新订单通知，查看患者病情评估后接单、转单或拒单、抢单、变更订单状态。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B62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5A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055A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72A5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74EA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2EF3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1E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账户管理：支持护士注册及登录，通过护士资质认证，在线提报及审核；支持线上报名培训，查看培训信息及证书；支持生成个人二维码推广；支持查看订单信息、用户评价等；支持生成服务小结，按表单填写服务信息及医疗垃圾处理记录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D00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7E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537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2B30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4DDA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6C28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32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多级联动远程会诊：支持用户启动远程会诊服务，并通过会诊首页浏览所有会诊记录；在发起会诊时，用户需填写并完善会诊申请单，支付相关费用，选择合适的专家，提交申请，或在必要时取消会诊。会诊费用可通过微信支付或生成二维码供他人代为支付。被邀请参与会诊的人员有权进行会诊评估，可选择接受或拒绝会诊请求，并提供相应理由，同时可调整会诊时间。系统支持创建诊间沟通环境，发起视频会诊，调整视频窗口布局，邀请其他成员参与，并填写会诊意见。用户可对会诊服务进行评价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05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367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F3A6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0ACA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3" w:type="dxa"/>
            <w:vMerge w:val="restart"/>
            <w:shd w:val="clear" w:color="auto" w:fill="auto"/>
            <w:noWrap/>
            <w:vAlign w:val="center"/>
          </w:tcPr>
          <w:p w14:paraId="0C6C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1C5F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互联网+护理服务系统：管理端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C24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订单管理：支持管理员后台查看全部订单情况，包括下单信息、支付信息、接单信息、签到签退记录、护理记录、患者自评、医疗垃圾处理记录等；支持后台发起退款；支持管理员对订单进行指派服务人员、重新指派服务人员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4A8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6A3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523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3B60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4E1D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64373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316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业务管理：支持机构项目信息管理，主要负责维护机构信息，设置护理服务项目的基础资料，并进行项目的上架与下架操作。模板配置管理则包括制定患者评估和护理记录的模板，并将这些模板与相应的服务项目进行关联。护士排班管理负责对护理人员进行合理的时间安排。护士评分管理则用于查看和管理护士的评分情况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E1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AF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B1E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68DC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0F12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15BB1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FD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服务监控：提供运行日志及服务监管功能，负责接收并响应护士报警，追溯护理人员的相关信息，并合理安排护士资源。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C7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E3F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9FD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208D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08AE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3BD5E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05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宣教管理：负责维护宣教的一级分类体系。宣教内容管理则涉及对宣教内容的发布、编辑、移除以及检索，并且需嵌入护理服务的购买链接。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263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33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CF6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6B2C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6575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0E67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77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用户管理：支持统计查看用户注册数量、浏览量以及成交用户的相关数据。管理员可通过此功能发布培训活动，进行培训内容的上下架管理，审核参与培训的报名者，并对合格者颁发相应证书。支持管理员对用户进行有效的黑名单管理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A7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A4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1DC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66A3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61CBA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04EE8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7A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平台管理：后台账号管理功能包括创建新账号以及修改现有账号的密码。业务信息管理涉及对科室、医护人员和服务项目等基础信息的维护工作。后台账号权限管理则负责设定后台管理人员的访问权限。区域机构管理功能统筹区域内多个机构和角色的账号管理，并负责权限的分配。弹窗管理功能允许用户发布、修改及新增开屏弹窗内容。退款管理：查看退款情况，批准退款操作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76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40A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4109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  <w:tr w14:paraId="7804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3" w:type="dxa"/>
            <w:vMerge w:val="continue"/>
            <w:shd w:val="clear" w:color="auto" w:fill="auto"/>
            <w:noWrap/>
            <w:vAlign w:val="center"/>
          </w:tcPr>
          <w:p w14:paraId="6FE2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129" w:type="dxa"/>
            <w:vMerge w:val="continue"/>
            <w:shd w:val="clear" w:color="auto" w:fill="auto"/>
            <w:vAlign w:val="center"/>
          </w:tcPr>
          <w:p w14:paraId="4A0F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E1A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系统设置：包括设定服务超时费用、行程费用、抢单失效持续时间及收益分配比例等项目。业务设置平台横幅、护士端公告等信息。用户登录配置支持后台管理员进行登录操作。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EA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BE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5CA9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4"/>
              </w:rPr>
            </w:pPr>
          </w:p>
        </w:tc>
      </w:tr>
    </w:tbl>
    <w:p w14:paraId="1C66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二、其他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</w:t>
      </w:r>
    </w:p>
    <w:p w14:paraId="2CFB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1）供应商需按要求提供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互联网+护理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系统的所有功能，并采用模块化设计，便于新增或调整功能模块。患者数据需采用国密算法加密传输与存储，支持数据脱敏查询，确保符合《中华人民共和国个人信息保护法》和《中华人民共和国数据安全法》。</w:t>
      </w:r>
    </w:p>
    <w:p w14:paraId="5BDD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供应商在质保期内需提供管理软件维保服务，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保证在维保期间可持续获取售后维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：提供7*24小时技术咨询、技术答疑、邮件、电话技术支持服务。故障响应：系统故障响应时间≤1小时（7×24小时），普通问题修复时间≤4小时，重大故障恢复时间≤12小时。故障处理后2天内提交故障分析报告，报告内容包括部位基本信息、故障处理情况、当前配置对稳定性的影响、性能测试等情况。</w:t>
      </w:r>
    </w:p>
    <w:p w14:paraId="0DB1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在质保期内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可能会产生其他一些影响的问题优化方案，如：新上服务、架构调整、配置调整等，需提前2天向采购人系统管理人员提交报告，并详细说明相关内容交付后可能出现的问题及影响范围，提前做好线上的部署工作及风险规避。</w:t>
      </w:r>
    </w:p>
    <w:p w14:paraId="597E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4）供应商服务人员需协助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我院系统管理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人员对所维护的系统及整理详细的维护管理文档，在发生配置变更、性能改进升级时，及时更新相关文档资料，并及时向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管理负责人提供相关维护管理文档。</w:t>
      </w:r>
    </w:p>
    <w:p w14:paraId="5E9E4D01">
      <w:pPr>
        <w:pStyle w:val="2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5）供应商报价按该项目收费单价的百分比进行报价。</w:t>
      </w:r>
    </w:p>
    <w:p w14:paraId="282796B3">
      <w:pPr>
        <w:pStyle w:val="2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6）供应商承担该项目所有系统安装、调试、使用、维护费用（包括货款、运输费、基础费、保险费、安装费、检测费和与其他系统对接接口费，所有费用均计入合同总价中）。</w:t>
      </w:r>
    </w:p>
    <w:p w14:paraId="2BA2AAE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03"/>
    <w:rsid w:val="00066A65"/>
    <w:rsid w:val="0027122A"/>
    <w:rsid w:val="00461280"/>
    <w:rsid w:val="00486675"/>
    <w:rsid w:val="006F51C8"/>
    <w:rsid w:val="00703E6E"/>
    <w:rsid w:val="00836703"/>
    <w:rsid w:val="00A46C30"/>
    <w:rsid w:val="00D04E3B"/>
    <w:rsid w:val="00D637F7"/>
    <w:rsid w:val="00E13F4B"/>
    <w:rsid w:val="00E6467F"/>
    <w:rsid w:val="00ED7044"/>
    <w:rsid w:val="0AB34336"/>
    <w:rsid w:val="5326704B"/>
    <w:rsid w:val="77EA6167"/>
    <w:rsid w:val="7C8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semiHidden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0"/>
    <w:pPr>
      <w:spacing w:before="50"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837</Words>
  <Characters>1024</Characters>
  <Lines>19</Lines>
  <Paragraphs>5</Paragraphs>
  <TotalTime>0</TotalTime>
  <ScaleCrop>false</ScaleCrop>
  <LinksUpToDate>false</LinksUpToDate>
  <CharactersWithSpaces>1038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2024-12-25T02:00:00Z</dcterms:created>
  <dc:creator>Windows User</dc:creator>
  <cp:lastModifiedBy>企业用户_1151885371</cp:lastModifiedBy>
  <dcterms:modified xsi:type="dcterms:W3CDTF">2025-08-14T02:38:00Z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eyJoZGlkIjoiN2Y5YTA4MjdkNTJhODZlMzYyYWUyOTRiYmRmYTIyNWUiLCJ1c2VySWQiOiIxNjkwMDc3MDEyIn0=</vt:lpwstr>
  </property>
  <property fmtid="{D5CDD505-2E9C-101B-9397-08002B2CF9AE}" pid="3" name="KSOProductBuildVer">
    <vt:lpwstr>2052-12.1.0.21915</vt:lpwstr>
  </property>
  <property fmtid="{D5CDD505-2E9C-101B-9397-08002B2CF9AE}" pid="4" name="ICV">
    <vt:lpwstr>9D6698E544874153BA25451AB5F7E85D_12</vt:lpwstr>
  </property>
</Properties>
</file>