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97E33">
      <w:pPr>
        <w:jc w:val="center"/>
        <w:rPr>
          <w:rFonts w:hint="default"/>
          <w:lang w:val="en-US"/>
        </w:rPr>
      </w:pPr>
      <w:r>
        <w:rPr>
          <w:rFonts w:hint="eastAsia" w:ascii="方正小标宋简体" w:hAnsi="方正小标宋简体" w:eastAsia="方正小标宋简体" w:cs="方正小标宋简体"/>
          <w:color w:val="auto"/>
          <w:kern w:val="0"/>
          <w:sz w:val="44"/>
          <w:szCs w:val="44"/>
          <w:highlight w:val="none"/>
          <w:lang w:val="en-US" w:eastAsia="zh-CN"/>
        </w:rPr>
        <w:t>四川省互联网总医院广元分院信息化建设项目建设需求</w:t>
      </w:r>
    </w:p>
    <w:p w14:paraId="0560914F">
      <w:pPr>
        <w:pStyle w:val="2"/>
        <w:numPr>
          <w:ilvl w:val="0"/>
          <w:numId w:val="1"/>
        </w:numPr>
        <w:rPr>
          <w:rFonts w:hint="eastAsia" w:ascii="仿宋" w:hAnsi="仿宋" w:eastAsia="仿宋" w:cstheme="minorBidi"/>
          <w:kern w:val="0"/>
          <w:sz w:val="28"/>
          <w:szCs w:val="28"/>
          <w:lang w:val="en-US" w:eastAsia="zh-CN" w:bidi="ar-SA"/>
        </w:rPr>
      </w:pPr>
      <w:r>
        <w:rPr>
          <w:rFonts w:hint="eastAsia" w:ascii="仿宋" w:hAnsi="仿宋" w:eastAsia="仿宋" w:cstheme="minorBidi"/>
          <w:kern w:val="0"/>
          <w:sz w:val="28"/>
          <w:szCs w:val="28"/>
          <w:lang w:val="en-US" w:eastAsia="zh-CN" w:bidi="ar-SA"/>
        </w:rPr>
        <w:t>服务期：1年</w:t>
      </w:r>
    </w:p>
    <w:p w14:paraId="18ABFE10">
      <w:pPr>
        <w:numPr>
          <w:ilvl w:val="0"/>
          <w:numId w:val="1"/>
        </w:numPr>
        <w:rPr>
          <w:rFonts w:hint="default" w:ascii="仿宋" w:hAnsi="仿宋" w:eastAsia="仿宋" w:cstheme="minorBidi"/>
          <w:kern w:val="0"/>
          <w:sz w:val="28"/>
          <w:szCs w:val="28"/>
          <w:lang w:val="en-US" w:eastAsia="zh-CN" w:bidi="ar-SA"/>
        </w:rPr>
      </w:pPr>
      <w:r>
        <w:rPr>
          <w:rFonts w:hint="eastAsia" w:ascii="仿宋" w:hAnsi="仿宋" w:eastAsia="仿宋" w:cstheme="minorBidi"/>
          <w:kern w:val="0"/>
          <w:sz w:val="28"/>
          <w:szCs w:val="28"/>
          <w:lang w:val="en-US" w:eastAsia="zh-CN" w:bidi="ar-SA"/>
        </w:rPr>
        <w:t>服务内容：</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1826"/>
        <w:gridCol w:w="5244"/>
      </w:tblGrid>
      <w:tr w14:paraId="638B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tcPr>
          <w:p w14:paraId="20CCA8B3">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ind w:firstLine="560" w:firstLineChars="200"/>
              <w:jc w:val="center"/>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序号</w:t>
            </w:r>
          </w:p>
        </w:tc>
        <w:tc>
          <w:tcPr>
            <w:tcW w:w="1826" w:type="dxa"/>
          </w:tcPr>
          <w:p w14:paraId="08EAC7DF">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jc w:val="center"/>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服务名称</w:t>
            </w:r>
          </w:p>
        </w:tc>
        <w:tc>
          <w:tcPr>
            <w:tcW w:w="5244" w:type="dxa"/>
          </w:tcPr>
          <w:p w14:paraId="516DEAE0">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ind w:firstLine="560" w:firstLineChars="200"/>
              <w:jc w:val="center"/>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服务内容</w:t>
            </w:r>
          </w:p>
        </w:tc>
      </w:tr>
      <w:tr w14:paraId="1D4C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tcPr>
          <w:p w14:paraId="49E95F1D">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ind w:firstLine="560" w:firstLineChars="20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1</w:t>
            </w:r>
          </w:p>
        </w:tc>
        <w:tc>
          <w:tcPr>
            <w:tcW w:w="1826" w:type="dxa"/>
          </w:tcPr>
          <w:p w14:paraId="448ED989">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接口调试服务</w:t>
            </w:r>
          </w:p>
        </w:tc>
        <w:tc>
          <w:tcPr>
            <w:tcW w:w="5244" w:type="dxa"/>
          </w:tcPr>
          <w:p w14:paraId="26FCA0FD">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1.接口联调服务：医疗机构互联网系统与分院信息系</w:t>
            </w:r>
            <w:bookmarkStart w:id="0" w:name="_GoBack"/>
            <w:bookmarkEnd w:id="0"/>
            <w:r>
              <w:rPr>
                <w:rFonts w:hint="eastAsia" w:ascii="仿宋" w:hAnsi="仿宋" w:eastAsia="仿宋"/>
                <w:kern w:val="0"/>
                <w:sz w:val="28"/>
                <w:szCs w:val="28"/>
                <w:lang w:val="en-US" w:eastAsia="zh-CN"/>
              </w:rPr>
              <w:t>统、分院信息系统与总医院平台之间须遵守接口文档定义规则进行数据传输，安排技术人员提供软件问题处理、需求响应、操作指导等服务。</w:t>
            </w:r>
          </w:p>
          <w:p w14:paraId="17313798">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2.接口维护服务：在总医院平台软件更新和迭代后，协助处理技术问题，并按照分院平台接口标准提供接口调试服务。</w:t>
            </w:r>
          </w:p>
          <w:p w14:paraId="2A389519">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default"/>
                <w:lang w:val="en-US" w:eastAsia="zh-CN"/>
              </w:rPr>
            </w:pPr>
            <w:r>
              <w:rPr>
                <w:rFonts w:hint="eastAsia" w:ascii="仿宋" w:hAnsi="仿宋" w:eastAsia="仿宋"/>
                <w:kern w:val="0"/>
                <w:sz w:val="28"/>
                <w:szCs w:val="28"/>
                <w:lang w:val="en-US" w:eastAsia="zh-CN"/>
              </w:rPr>
              <w:t>3.接口范围：接口调试须覆盖以下15项子接口：科室导入、医生导入、接诊信息回传、复诊跳跃、咨询跳跃、就医指导、复诊记录、咨询记录、处方记录、自主开单、检查检验记录、评价、评价查看、预约挂号、预约挂号记录。</w:t>
            </w:r>
          </w:p>
        </w:tc>
      </w:tr>
      <w:tr w14:paraId="6623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tcPr>
          <w:p w14:paraId="70BCF583">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ind w:firstLine="560" w:firstLineChars="20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2</w:t>
            </w:r>
          </w:p>
        </w:tc>
        <w:tc>
          <w:tcPr>
            <w:tcW w:w="1826" w:type="dxa"/>
          </w:tcPr>
          <w:p w14:paraId="7A177730">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技术运维服务</w:t>
            </w:r>
          </w:p>
        </w:tc>
        <w:tc>
          <w:tcPr>
            <w:tcW w:w="5244" w:type="dxa"/>
          </w:tcPr>
          <w:p w14:paraId="6DD0082C">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1.系统监控与告警处理：维护分院与签约医疗机构之间的系统稳定、安全运行，提供7×24小时系统监控与告警处理，系统规则库与知识库更新与维护。</w:t>
            </w:r>
          </w:p>
          <w:p w14:paraId="5EA77ABF">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2.日常维护：含新增接口升级调试、基础信息配置、测试数据配置等日常维护工作。</w:t>
            </w:r>
          </w:p>
          <w:p w14:paraId="5365DBBA">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3.第三方接入管理：</w:t>
            </w:r>
          </w:p>
          <w:p w14:paraId="1F09D635">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（1）基础信息管理（文档管理、链接管理、内容管理等）；</w:t>
            </w:r>
          </w:p>
          <w:p w14:paraId="4F6C7CB4">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（2）服务管理（服务启用和禁用）；权限管理（审核、账号开通、授权及鉴权管理）；</w:t>
            </w:r>
          </w:p>
          <w:p w14:paraId="358E0A68">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（3）服务运营管理（服务运行状态、服务质量、服务监控等）；</w:t>
            </w:r>
          </w:p>
          <w:p w14:paraId="2A7CE2BD">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（4）服务日志管理（服务相关数据留痕）；</w:t>
            </w:r>
          </w:p>
          <w:p w14:paraId="63C8AD9F">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（5）API管理（接口状态、接口质量，实现统一管理和监控）。</w:t>
            </w:r>
          </w:p>
          <w:p w14:paraId="3CB6BE33">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4.数据分析服务：数据后台日志查询等分析服务；</w:t>
            </w:r>
          </w:p>
          <w:p w14:paraId="69EB17A4">
            <w:pPr>
              <w:keepNext w:val="0"/>
              <w:keepLines w:val="0"/>
              <w:pageBreakBefore w:val="0"/>
              <w:widowControl/>
              <w:numPr>
                <w:ilvl w:val="0"/>
                <w:numId w:val="0"/>
              </w:numPr>
              <w:kinsoku/>
              <w:wordWrap/>
              <w:overflowPunct/>
              <w:topLinePunct w:val="0"/>
              <w:autoSpaceDE/>
              <w:autoSpaceDN/>
              <w:bidi w:val="0"/>
              <w:adjustRightInd w:val="0"/>
              <w:snapToGrid w:val="0"/>
              <w:spacing w:before="156" w:beforeLines="50" w:after="156" w:afterLines="50" w:line="440" w:lineRule="exact"/>
              <w:ind w:firstLine="560" w:firstLineChars="20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5.巡检及应急处理：常规巡检及应急处理服务等。</w:t>
            </w:r>
          </w:p>
        </w:tc>
      </w:tr>
      <w:tr w14:paraId="00C9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tcPr>
          <w:p w14:paraId="20A8E7DD">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ind w:firstLine="560" w:firstLineChars="20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3</w:t>
            </w:r>
          </w:p>
        </w:tc>
        <w:tc>
          <w:tcPr>
            <w:tcW w:w="1826" w:type="dxa"/>
          </w:tcPr>
          <w:p w14:paraId="1B299266">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运营服务</w:t>
            </w:r>
          </w:p>
        </w:tc>
        <w:tc>
          <w:tcPr>
            <w:tcW w:w="5244" w:type="dxa"/>
          </w:tcPr>
          <w:p w14:paraId="187DB8BC">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1.培训服务：配合甲方完成线上线下培训，确保相关人员熟练操作平台。</w:t>
            </w:r>
          </w:p>
          <w:p w14:paraId="3D4A123D">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ind w:firstLine="560" w:firstLineChars="20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2.应用推广：全渠道应用推广，提升平台使用率和用户知晓度。</w:t>
            </w:r>
          </w:p>
          <w:p w14:paraId="78A6A394">
            <w:pPr>
              <w:pStyle w:val="2"/>
              <w:keepNext w:val="0"/>
              <w:keepLines w:val="0"/>
              <w:pageBreakBefore w:val="0"/>
              <w:kinsoku/>
              <w:wordWrap/>
              <w:overflowPunct/>
              <w:topLinePunct w:val="0"/>
              <w:autoSpaceDE/>
              <w:autoSpaceDN/>
              <w:bidi w:val="0"/>
              <w:spacing w:line="440" w:lineRule="exact"/>
              <w:ind w:firstLine="560" w:firstLineChars="20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3.外出交流学习：根据需要组织外出交流学习（每年不少于1次）。</w:t>
            </w:r>
          </w:p>
          <w:p w14:paraId="0B6BBA53">
            <w:pPr>
              <w:keepNext w:val="0"/>
              <w:keepLines w:val="0"/>
              <w:pageBreakBefore w:val="0"/>
              <w:kinsoku/>
              <w:wordWrap/>
              <w:overflowPunct/>
              <w:topLinePunct w:val="0"/>
              <w:autoSpaceDE/>
              <w:autoSpaceDN/>
              <w:bidi w:val="0"/>
              <w:spacing w:line="440" w:lineRule="exact"/>
              <w:ind w:firstLine="560" w:firstLineChars="20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4.运行分析：定期进行运行分析，出具分析报告。</w:t>
            </w:r>
          </w:p>
          <w:p w14:paraId="0BB41216">
            <w:pPr>
              <w:pStyle w:val="2"/>
              <w:keepNext w:val="0"/>
              <w:keepLines w:val="0"/>
              <w:pageBreakBefore w:val="0"/>
              <w:kinsoku/>
              <w:wordWrap/>
              <w:overflowPunct/>
              <w:topLinePunct w:val="0"/>
              <w:autoSpaceDE/>
              <w:autoSpaceDN/>
              <w:bidi w:val="0"/>
              <w:spacing w:line="440" w:lineRule="exact"/>
              <w:ind w:firstLine="560" w:firstLineChars="20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5.宣传设计制作：宣传设计及制作等。</w:t>
            </w:r>
          </w:p>
        </w:tc>
      </w:tr>
      <w:tr w14:paraId="3D5D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tcPr>
          <w:p w14:paraId="42C26EAE">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ind w:firstLine="560" w:firstLineChars="20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4</w:t>
            </w:r>
          </w:p>
        </w:tc>
        <w:tc>
          <w:tcPr>
            <w:tcW w:w="1826" w:type="dxa"/>
          </w:tcPr>
          <w:p w14:paraId="52948D61">
            <w:pPr>
              <w:keepNext w:val="0"/>
              <w:keepLines w:val="0"/>
              <w:pageBreakBefore w:val="0"/>
              <w:widowControl/>
              <w:kinsoku/>
              <w:wordWrap/>
              <w:overflowPunct/>
              <w:topLinePunct w:val="0"/>
              <w:autoSpaceDE/>
              <w:autoSpaceDN/>
              <w:bidi w:val="0"/>
              <w:adjustRightInd w:val="0"/>
              <w:snapToGrid w:val="0"/>
              <w:spacing w:before="156" w:beforeLines="50" w:after="156" w:afterLines="50" w:line="440" w:lineRule="exact"/>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其他服务要求</w:t>
            </w:r>
          </w:p>
        </w:tc>
        <w:tc>
          <w:tcPr>
            <w:tcW w:w="5244" w:type="dxa"/>
          </w:tcPr>
          <w:p w14:paraId="6A3FC978">
            <w:pPr>
              <w:keepNext w:val="0"/>
              <w:keepLines w:val="0"/>
              <w:pageBreakBefore w:val="0"/>
              <w:kinsoku/>
              <w:wordWrap/>
              <w:overflowPunct/>
              <w:topLinePunct w:val="0"/>
              <w:autoSpaceDE/>
              <w:autoSpaceDN/>
              <w:bidi w:val="0"/>
              <w:spacing w:line="440" w:lineRule="exact"/>
              <w:ind w:firstLine="560" w:firstLineChars="200"/>
              <w:rPr>
                <w:rFonts w:hint="eastAsia" w:ascii="仿宋" w:hAnsi="仿宋" w:eastAsia="仿宋" w:cstheme="minorBidi"/>
                <w:kern w:val="0"/>
                <w:sz w:val="28"/>
                <w:szCs w:val="28"/>
                <w:lang w:val="en-US" w:eastAsia="zh-CN" w:bidi="ar-SA"/>
              </w:rPr>
            </w:pPr>
            <w:r>
              <w:rPr>
                <w:rFonts w:hint="eastAsia" w:ascii="仿宋" w:hAnsi="仿宋" w:eastAsia="仿宋"/>
                <w:kern w:val="0"/>
                <w:sz w:val="28"/>
                <w:szCs w:val="28"/>
                <w:lang w:val="en-US" w:eastAsia="zh-CN"/>
              </w:rPr>
              <w:t>1.</w:t>
            </w:r>
            <w:r>
              <w:rPr>
                <w:rFonts w:hint="eastAsia" w:ascii="仿宋" w:hAnsi="仿宋" w:eastAsia="仿宋" w:cstheme="minorBidi"/>
                <w:kern w:val="0"/>
                <w:sz w:val="28"/>
                <w:szCs w:val="28"/>
                <w:lang w:val="en-US" w:eastAsia="zh-CN" w:bidi="ar-SA"/>
              </w:rPr>
              <w:t>服务报告要求</w:t>
            </w:r>
          </w:p>
          <w:p w14:paraId="17364E67">
            <w:pPr>
              <w:keepNext w:val="0"/>
              <w:keepLines w:val="0"/>
              <w:pageBreakBefore w:val="0"/>
              <w:kinsoku/>
              <w:wordWrap/>
              <w:overflowPunct/>
              <w:topLinePunct w:val="0"/>
              <w:autoSpaceDE/>
              <w:autoSpaceDN/>
              <w:bidi w:val="0"/>
              <w:spacing w:line="440" w:lineRule="exact"/>
              <w:rPr>
                <w:rFonts w:hint="eastAsia" w:ascii="仿宋" w:hAnsi="仿宋" w:eastAsia="仿宋" w:cstheme="minorBidi"/>
                <w:kern w:val="0"/>
                <w:sz w:val="28"/>
                <w:szCs w:val="28"/>
                <w:lang w:val="en-US" w:eastAsia="zh-CN" w:bidi="ar-SA"/>
              </w:rPr>
            </w:pPr>
            <w:r>
              <w:rPr>
                <w:rFonts w:hint="eastAsia" w:ascii="仿宋" w:hAnsi="仿宋" w:eastAsia="仿宋" w:cstheme="minorBidi"/>
                <w:kern w:val="0"/>
                <w:sz w:val="28"/>
                <w:szCs w:val="28"/>
                <w:lang w:val="en-US" w:eastAsia="zh-CN" w:bidi="ar-SA"/>
              </w:rPr>
              <w:t>（1）运维季报：每季度提交《系统运维季报》，含系统运行状态、故障处理记录、告警统计等。</w:t>
            </w:r>
          </w:p>
          <w:p w14:paraId="148FD1E0">
            <w:pPr>
              <w:pStyle w:val="2"/>
              <w:keepNext w:val="0"/>
              <w:keepLines w:val="0"/>
              <w:pageBreakBefore w:val="0"/>
              <w:kinsoku/>
              <w:wordWrap/>
              <w:overflowPunct/>
              <w:topLinePunct w:val="0"/>
              <w:autoSpaceDE/>
              <w:autoSpaceDN/>
              <w:bidi w:val="0"/>
              <w:spacing w:line="440" w:lineRule="exact"/>
              <w:rPr>
                <w:rFonts w:hint="eastAsia" w:ascii="仿宋" w:hAnsi="仿宋" w:eastAsia="仿宋" w:cstheme="minorBidi"/>
                <w:kern w:val="0"/>
                <w:sz w:val="28"/>
                <w:szCs w:val="28"/>
                <w:lang w:val="en-US" w:eastAsia="zh-CN" w:bidi="ar-SA"/>
              </w:rPr>
            </w:pPr>
            <w:r>
              <w:rPr>
                <w:rFonts w:hint="eastAsia" w:ascii="仿宋" w:hAnsi="仿宋" w:eastAsia="仿宋" w:cstheme="minorBidi"/>
                <w:kern w:val="0"/>
                <w:sz w:val="28"/>
                <w:szCs w:val="28"/>
                <w:lang w:val="en-US" w:eastAsia="zh-CN" w:bidi="ar-SA"/>
              </w:rPr>
              <w:t>（2）运营数据报告：每半年提交《运营数据报告》，含问诊量、服务人次、用户活跃度等核心指标统计及趋势分析。</w:t>
            </w:r>
          </w:p>
          <w:p w14:paraId="26686C05">
            <w:pPr>
              <w:pStyle w:val="2"/>
              <w:keepNext w:val="0"/>
              <w:keepLines w:val="0"/>
              <w:pageBreakBefore w:val="0"/>
              <w:kinsoku/>
              <w:wordWrap/>
              <w:overflowPunct/>
              <w:topLinePunct w:val="0"/>
              <w:autoSpaceDE/>
              <w:autoSpaceDN/>
              <w:bidi w:val="0"/>
              <w:spacing w:line="440" w:lineRule="exact"/>
              <w:ind w:firstLine="560" w:firstLineChars="200"/>
              <w:rPr>
                <w:rFonts w:hint="eastAsia" w:ascii="仿宋" w:hAnsi="仿宋" w:eastAsia="仿宋" w:cstheme="minorBidi"/>
                <w:kern w:val="0"/>
                <w:sz w:val="28"/>
                <w:szCs w:val="28"/>
                <w:lang w:val="en-US" w:eastAsia="zh-CN" w:bidi="ar-SA"/>
              </w:rPr>
            </w:pPr>
            <w:r>
              <w:rPr>
                <w:rFonts w:hint="eastAsia" w:ascii="仿宋" w:hAnsi="仿宋" w:eastAsia="仿宋" w:cstheme="minorBidi"/>
                <w:kern w:val="0"/>
                <w:sz w:val="28"/>
                <w:szCs w:val="28"/>
                <w:lang w:val="en-US" w:eastAsia="zh-CN" w:bidi="ar-SA"/>
              </w:rPr>
              <w:t>2.数据与安全要求</w:t>
            </w:r>
          </w:p>
          <w:p w14:paraId="47C1C531">
            <w:pPr>
              <w:pStyle w:val="2"/>
              <w:keepNext w:val="0"/>
              <w:keepLines w:val="0"/>
              <w:pageBreakBefore w:val="0"/>
              <w:kinsoku/>
              <w:wordWrap/>
              <w:overflowPunct/>
              <w:topLinePunct w:val="0"/>
              <w:autoSpaceDE/>
              <w:autoSpaceDN/>
              <w:bidi w:val="0"/>
              <w:spacing w:line="440" w:lineRule="exact"/>
              <w:ind w:firstLine="560" w:firstLineChars="200"/>
              <w:rPr>
                <w:rFonts w:hint="default"/>
                <w:lang w:val="en-US" w:eastAsia="zh-CN"/>
              </w:rPr>
            </w:pPr>
            <w:r>
              <w:rPr>
                <w:rFonts w:hint="default" w:ascii="仿宋" w:hAnsi="仿宋" w:eastAsia="仿宋" w:cstheme="minorBidi"/>
                <w:kern w:val="0"/>
                <w:sz w:val="28"/>
                <w:szCs w:val="28"/>
                <w:lang w:val="en-US" w:eastAsia="zh-CN" w:bidi="ar-SA"/>
              </w:rPr>
              <w:t>供应商须与医院签订《数据安全与保密协议》，对本项目服务过程中接触到的所有业务数据（含患者信息、诊疗数据、经营数据等）承担保密义务，不得泄露、篡改、滥用</w:t>
            </w:r>
            <w:r>
              <w:rPr>
                <w:rFonts w:hint="eastAsia" w:ascii="仿宋" w:hAnsi="仿宋" w:eastAsia="仿宋" w:cstheme="minorBidi"/>
                <w:kern w:val="0"/>
                <w:sz w:val="28"/>
                <w:szCs w:val="28"/>
                <w:lang w:val="en-US" w:eastAsia="zh-CN" w:bidi="ar-SA"/>
              </w:rPr>
              <w:t>等</w:t>
            </w:r>
            <w:r>
              <w:rPr>
                <w:rFonts w:hint="default" w:ascii="仿宋" w:hAnsi="仿宋" w:eastAsia="仿宋" w:cstheme="minorBidi"/>
                <w:kern w:val="0"/>
                <w:sz w:val="28"/>
                <w:szCs w:val="28"/>
                <w:lang w:val="en-US" w:eastAsia="zh-CN" w:bidi="ar-SA"/>
              </w:rPr>
              <w:t>任何用途</w:t>
            </w:r>
            <w:r>
              <w:rPr>
                <w:rFonts w:hint="eastAsia" w:ascii="仿宋" w:hAnsi="仿宋" w:eastAsia="仿宋" w:cstheme="minorBidi"/>
                <w:kern w:val="0"/>
                <w:sz w:val="28"/>
                <w:szCs w:val="28"/>
                <w:lang w:val="en-US" w:eastAsia="zh-CN" w:bidi="ar-SA"/>
              </w:rPr>
              <w:t>。</w:t>
            </w:r>
          </w:p>
        </w:tc>
      </w:tr>
    </w:tbl>
    <w:p w14:paraId="29E714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6A46F"/>
    <w:multiLevelType w:val="singleLevel"/>
    <w:tmpl w:val="1466A46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D92300"/>
    <w:rsid w:val="35D92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BodyText"/>
    <w:basedOn w:val="1"/>
    <w:next w:val="1"/>
    <w:qFormat/>
    <w:uiPriority w:val="0"/>
    <w:pPr>
      <w:tabs>
        <w:tab w:val="left" w:pos="7665"/>
      </w:tabs>
      <w:spacing w:after="120"/>
      <w:textAlignment w:val="baseline"/>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2026-07-17T03:28:00Z</dcterms:created>
  <dc:creator>严梦</dc:creator>
  <cp:lastModifiedBy>严梦</cp:lastModifiedBy>
  <dcterms:modified xsi:type="dcterms:W3CDTF">2026-07-17T03:30:01Z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6C53B29BDDBA4BEAB50581455E646CA7_11</vt:lpwstr>
  </property>
  <property fmtid="{D5CDD505-2E9C-101B-9397-08002B2CF9AE}" pid="4" name="KSOTemplateDocerSaveRecord">
    <vt:lpwstr>eyJoZGlkIjoiN2IwMmVmZTBjZjZkM2M1NWM3NTZhNzg2MTJkMmRjZDkiLCJ1c2VySWQiOiIxNzAzMzE3OTU1In0=</vt:lpwstr>
  </property>
</Properties>
</file>