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AEAD4">
      <w:pP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  <w:t>麻醉访视、计费及药品闭环管理系统项目的建设需求</w:t>
      </w:r>
    </w:p>
    <w:p w14:paraId="3461E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Chars="200"/>
        <w:jc w:val="both"/>
        <w:textAlignment w:val="auto"/>
        <w:rPr>
          <w:rFonts w:hint="eastAsia" w:ascii="楷体_GB2312" w:eastAsia="楷体_GB2312" w:hAnsiTheme="minorHAnsi"/>
          <w:kern w:val="2"/>
          <w:sz w:val="32"/>
          <w:szCs w:val="32"/>
          <w:lang w:val="en-US" w:eastAsia="zh-CN"/>
        </w:rPr>
      </w:pPr>
    </w:p>
    <w:p w14:paraId="09BB97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40" w:firstLineChars="200"/>
        <w:jc w:val="both"/>
        <w:textAlignment w:val="auto"/>
        <w:rPr>
          <w:rFonts w:hint="eastAsia" w:ascii="楷体_GB2312" w:eastAsia="楷体_GB2312" w:hAnsiTheme="minorHAnsi"/>
          <w:kern w:val="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kern w:val="2"/>
          <w:sz w:val="32"/>
          <w:szCs w:val="32"/>
          <w:lang w:val="en-US" w:eastAsia="zh-CN"/>
        </w:rPr>
        <w:t>服务</w:t>
      </w:r>
      <w:r>
        <w:rPr>
          <w:rFonts w:hint="eastAsia" w:ascii="楷体_GB2312" w:eastAsia="楷体_GB2312" w:hAnsiTheme="minorHAnsi"/>
          <w:kern w:val="2"/>
          <w:sz w:val="32"/>
          <w:szCs w:val="32"/>
          <w:lang w:val="en-US" w:eastAsia="zh-CN"/>
        </w:rPr>
        <w:t>要求</w:t>
      </w:r>
    </w:p>
    <w:p w14:paraId="6FE3BBB3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6465"/>
      </w:tblGrid>
      <w:tr w14:paraId="0A52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14:paraId="58BA5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服务项目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4F8DD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功能参数</w:t>
            </w:r>
          </w:p>
        </w:tc>
      </w:tr>
      <w:tr w14:paraId="2D64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1C272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麻醉移动访视子系统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54CFE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1. 支持移动终端（平板电脑）联网及离线使用，自动同步患者信息、手术安排、检验检查结果等基础数据。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2. 提供患者列表查询功能，可按科室、日期、手术状态、患者姓名/ID等多条件检索。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3. 支持扫描患者腕带快速定位并进入访视界面。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4. 提供结构化术前访视电子表单，支持快速点选、文字录入，可自动带入患者基本信息及最近检验结果。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5. 支持麻醉知情同意书的电子填写与存储，可嵌入手写板/移动端手写签名功能。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6. 提供术后随访记录单及术后镇痛随访记录单的电子化填写。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7. 支持术后镇痛用药、效果评估等内容的记录与保存。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8. 支持离线状态下录入访视数据，联网后自动上传至麻醉主系统。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9. 上传后可在麻醉系统终端统一查看、批量打印访视文书，打印格式可按医院要求定制。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▲10. 与医院HIS、LIS、电子病历系统对接，获取患者检验、检查、病历信息。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★11. 与现有手麻系统实现数据无缝集成，访视数据自动写入麻醉记录单。</w:t>
            </w:r>
          </w:p>
        </w:tc>
      </w:tr>
      <w:tr w14:paraId="3B98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6024A7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麻醉计费管理子系统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1267E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★1. 支持从麻醉记录单中自动提取术中用药、输液、医技操作等事件，一键生成收费项目及数量，传输至HIS系统完成上账。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▲2. 支持对无法自动匹配的耗材、特殊项目进行手工增补、数量核定与修正。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▲3. 提供计费核对界面，支持按手术、麻醉方式、药品/耗材分类等条件筛选与审核。</w:t>
            </w:r>
          </w:p>
          <w:p w14:paraId="26A6A6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4.支持维护麻醉科常用药品、耗材与HIS收费项目的映射关系，并可根据厂商、品种变化灵活调整。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5. 提供计费明细查询报表，可按时间段、手术医生、麻醉方式等统计收费情况，支持导出。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★6. 与医院HIS系统实现数据直传，计费数据接口稳定可靠。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7. 不改变麻醉科现有业务流程，尽量减少对临床医生的培训依赖。</w:t>
            </w:r>
          </w:p>
        </w:tc>
      </w:tr>
      <w:tr w14:paraId="77EE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14:paraId="0A57EB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麻醉药品管理子系统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37935F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▲1. 支持毒麻药品名称、规格、默认用法用量等基础信息的预置。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▲2. 根据术中登记内容（药品名称、使用剂量）自动计算使用支数、总用量及残余量。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3. 集中记录麻醉科每种药品的领用人、核对人（支持电子签名确认）。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4. 记录残余量处理方法（如销毁、回收）及处置场所。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▲5. 支持按指定时间段、药品名称、批次等条件查询毒麻药品使用明细，便于药房核对与检查。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6. 提供与医院药房系统或毒麻药品管理系统的数据接口（可选）。</w:t>
            </w:r>
          </w:p>
        </w:tc>
      </w:tr>
      <w:tr w14:paraId="2EFE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14:paraId="3B2A65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系统总体要求</w:t>
            </w:r>
          </w:p>
          <w:p w14:paraId="525B4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65" w:type="dxa"/>
            <w:shd w:val="clear" w:color="auto" w:fill="auto"/>
            <w:vAlign w:val="center"/>
          </w:tcPr>
          <w:p w14:paraId="37478F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★1.三个子系统统一登录、统一权限管理，数据互通（访视数据自动进入麻醉记录单，计费数据基于麻醉记录单，药品使用与麻醉记录单联动）。</w:t>
            </w:r>
          </w:p>
          <w:p w14:paraId="5AC21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★2.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与医院现有手麻系统无缝集成，不得破坏原有数据结构与业务逻辑。</w:t>
            </w:r>
          </w:p>
          <w:p w14:paraId="11E96C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★3.支持与HIS、LIS、电子病历、药房等系统的标准接口对接，接口费用（包括但不限于接口开发、联调、测试费用）由供应商承担，医院不再另行支付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  <w:p w14:paraId="25303D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提供全中文操作界面，支持常用浏览器（Chrome、Edge）访问管理端。</w:t>
            </w:r>
          </w:p>
          <w:p w14:paraId="772AB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★5.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供应商须签订《数据安全与保密协议》，对系统运行过程中接触的患者信息、麻醉记录、药品使用数据等严格保密，不得用于本项目以外的任何用途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</w:tr>
      <w:tr w14:paraId="60D9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14:paraId="1DE58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服务要求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565F4F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1.质保期：不少于2年。</w:t>
            </w:r>
          </w:p>
          <w:p w14:paraId="40CBD9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2.提供现场集中培训（管理员、麻醉医生、护士、计费人员），确保各类人员熟练使用。</w:t>
            </w:r>
          </w:p>
          <w:p w14:paraId="70472F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3.项目实施期间，须按周提交项目进度报告，反馈开发、测试、接口对接等进展情况，并配合医院填写验收相关的资料模板（如项目启动会、实施调研表、上线确认书等表）。</w:t>
            </w:r>
          </w:p>
          <w:p w14:paraId="1D76E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4.提供电子及纸质培训资料（用户手册、维护手册）。</w:t>
            </w:r>
          </w:p>
          <w:p w14:paraId="7E5CD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★5.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服务响应：7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*24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小时，电话≤30分钟，远程≤2小时，现场≤48小时（省内）。</w:t>
            </w:r>
          </w:p>
          <w:p w14:paraId="6F14F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一级故障（药品管理子系统无法使用、麻醉记录单无法录入、计费系统大面积故障）：电话响应≤5分钟，远程接入≤15分钟，现场到达≤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小时（医院所在城市内）。夜间现场到达时间可协商，但远程支持必须立即响应。</w:t>
            </w:r>
          </w:p>
          <w:p w14:paraId="043FE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二级故障（其他子系统功能异常、数据同步失败等）：电话响应≤15分钟，远程接入≤30分钟，现场到达≤4小时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  <w:p w14:paraId="40DD1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三级故障（咨询、配置调整）：电话响应≤30分钟，远程接入≤2小时，按约定时间处理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  <w:p w14:paraId="36578F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▲6.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质保期内免费提供报表格式调整、查询条件扩展等小范围个性化修改服务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  <w:p w14:paraId="7D65D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7.</w:t>
            </w:r>
            <w:r>
              <w:rPr>
                <w:rFonts w:hint="default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本次开发新增功能模块的源代码及技术文档归医院所有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</w:tr>
    </w:tbl>
    <w:p w14:paraId="205FA2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1829B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F57BDA-12B4-47D5-BF5F-BDBEAA325C9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3C00B0C2-4F12-4E6D-8EA5-F43B182F268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0A82B74-6590-408D-9EC5-E57EAFFFBE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0B65C4"/>
    <w:multiLevelType w:val="singleLevel"/>
    <w:tmpl w:val="960B65C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F1FB29"/>
    <w:multiLevelType w:val="singleLevel"/>
    <w:tmpl w:val="00F1FB2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E757DBC"/>
    <w:multiLevelType w:val="singleLevel"/>
    <w:tmpl w:val="5E757DB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86FF8"/>
    <w:rsid w:val="1A486FF8"/>
    <w:rsid w:val="23766E5B"/>
    <w:rsid w:val="632175D9"/>
    <w:rsid w:val="78FC788A"/>
    <w:rsid w:val="7FD8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1499</Words>
  <Characters>1569</Characters>
  <Lines>0</Lines>
  <Paragraphs>0</Paragraphs>
  <TotalTime>0</TotalTime>
  <ScaleCrop>false</ScaleCrop>
  <LinksUpToDate>false</LinksUpToDate>
  <CharactersWithSpaces>1618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2026-06-17T07:14:00Z</dcterms:created>
  <dc:creator>严梦</dc:creator>
  <cp:lastModifiedBy>严梦</cp:lastModifiedBy>
  <dcterms:modified xsi:type="dcterms:W3CDTF">2026-06-22T03:15:35Z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901DF68D719F4B848F546DFA48859502_11</vt:lpwstr>
  </property>
  <property fmtid="{D5CDD505-2E9C-101B-9397-08002B2CF9AE}" pid="4" name="KSOTemplateDocerSaveRecord">
    <vt:lpwstr>eyJoZGlkIjoiN2IwMmVmZTBjZjZkM2M1NWM3NTZhNzg2MTJkMmRjZDkiLCJ1c2VySWQiOiIxNzAzMzE3OTU1In0=</vt:lpwstr>
  </property>
</Properties>
</file>