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0DC767">
      <w:pPr>
        <w:jc w:val="center"/>
        <w:rPr>
          <w:rFonts w:hint="default"/>
          <w:b/>
          <w:bCs/>
          <w:sz w:val="44"/>
          <w:szCs w:val="44"/>
          <w:lang w:val="en-US"/>
        </w:rPr>
      </w:pPr>
      <w:r>
        <w:rPr>
          <w:rFonts w:hint="eastAsia" w:ascii="方正仿宋_GB2312" w:hAnsi="方正仿宋_GB2312" w:eastAsia="方正仿宋_GB2312" w:cs="方正仿宋_GB2312"/>
          <w:b/>
          <w:bCs/>
          <w:color w:val="auto"/>
          <w:kern w:val="0"/>
          <w:sz w:val="44"/>
          <w:szCs w:val="44"/>
          <w:highlight w:val="none"/>
          <w:lang w:val="en-US" w:eastAsia="zh-CN" w:bidi="ar-SA"/>
        </w:rPr>
        <w:t>广元市中心医院网络安全防护设备更新采购项目建设需求</w:t>
      </w:r>
    </w:p>
    <w:p w14:paraId="1689BA44"/>
    <w:p w14:paraId="096AF6D9">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楷体_GB2312" w:eastAsia="楷体_GB2312" w:hAnsiTheme="minorHAnsi" w:cstheme="minorBidi"/>
          <w:kern w:val="2"/>
          <w:sz w:val="32"/>
          <w:szCs w:val="32"/>
          <w:lang w:val="en-US" w:eastAsia="zh-CN" w:bidi="ar-SA"/>
        </w:rPr>
      </w:pPr>
      <w:r>
        <w:rPr>
          <w:rFonts w:hint="eastAsia" w:ascii="楷体_GB2312" w:eastAsia="楷体_GB2312" w:cstheme="minorBidi"/>
          <w:kern w:val="2"/>
          <w:sz w:val="32"/>
          <w:szCs w:val="32"/>
          <w:lang w:val="en-US" w:eastAsia="zh-CN" w:bidi="ar-SA"/>
        </w:rPr>
        <w:t>服务内容</w:t>
      </w:r>
      <w:r>
        <w:rPr>
          <w:rFonts w:hint="eastAsia" w:ascii="楷体_GB2312" w:eastAsia="楷体_GB2312" w:hAnsiTheme="minorHAnsi" w:cstheme="minorBidi"/>
          <w:kern w:val="2"/>
          <w:sz w:val="32"/>
          <w:szCs w:val="32"/>
          <w:lang w:val="en-US" w:eastAsia="zh-CN" w:bidi="ar-SA"/>
        </w:rPr>
        <w:t>：</w:t>
      </w:r>
    </w:p>
    <w:p w14:paraId="35C410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1.采购清单</w:t>
      </w:r>
    </w:p>
    <w:tbl>
      <w:tblPr>
        <w:tblStyle w:val="3"/>
        <w:tblW w:w="85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689"/>
        <w:gridCol w:w="2901"/>
        <w:gridCol w:w="1676"/>
        <w:gridCol w:w="1436"/>
      </w:tblGrid>
      <w:tr w14:paraId="24A74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35B61212">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序号</w:t>
            </w:r>
          </w:p>
        </w:tc>
        <w:tc>
          <w:tcPr>
            <w:tcW w:w="1689" w:type="dxa"/>
            <w:vAlign w:val="center"/>
          </w:tcPr>
          <w:p w14:paraId="1AAC2367">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类别</w:t>
            </w:r>
          </w:p>
        </w:tc>
        <w:tc>
          <w:tcPr>
            <w:tcW w:w="2901" w:type="dxa"/>
            <w:vAlign w:val="center"/>
          </w:tcPr>
          <w:p w14:paraId="01DB0E2A">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产品名称</w:t>
            </w:r>
          </w:p>
        </w:tc>
        <w:tc>
          <w:tcPr>
            <w:tcW w:w="1676" w:type="dxa"/>
            <w:vAlign w:val="center"/>
          </w:tcPr>
          <w:p w14:paraId="7258C511">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数量</w:t>
            </w:r>
          </w:p>
        </w:tc>
        <w:tc>
          <w:tcPr>
            <w:tcW w:w="1436" w:type="dxa"/>
            <w:vAlign w:val="center"/>
          </w:tcPr>
          <w:p w14:paraId="086ABF1C">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单位</w:t>
            </w:r>
          </w:p>
        </w:tc>
      </w:tr>
      <w:tr w14:paraId="11937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restart"/>
            <w:vAlign w:val="center"/>
          </w:tcPr>
          <w:p w14:paraId="320A5BD4">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1689" w:type="dxa"/>
            <w:vMerge w:val="restart"/>
            <w:vAlign w:val="center"/>
          </w:tcPr>
          <w:p w14:paraId="24F8E8DB">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硬件设备</w:t>
            </w:r>
          </w:p>
          <w:p w14:paraId="6FFF4217">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（含规则库）</w:t>
            </w:r>
          </w:p>
        </w:tc>
        <w:tc>
          <w:tcPr>
            <w:tcW w:w="2901" w:type="dxa"/>
            <w:vAlign w:val="center"/>
          </w:tcPr>
          <w:p w14:paraId="3D0172AA">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堡垒机</w:t>
            </w:r>
          </w:p>
        </w:tc>
        <w:tc>
          <w:tcPr>
            <w:tcW w:w="1676" w:type="dxa"/>
            <w:vAlign w:val="center"/>
          </w:tcPr>
          <w:p w14:paraId="44E11119">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1436" w:type="dxa"/>
            <w:vAlign w:val="center"/>
          </w:tcPr>
          <w:p w14:paraId="7D61E84E">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台</w:t>
            </w:r>
          </w:p>
        </w:tc>
      </w:tr>
      <w:tr w14:paraId="59A80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2981A642">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center"/>
              <w:textAlignment w:val="center"/>
              <w:rPr>
                <w:rFonts w:hint="default" w:ascii="仿宋" w:hAnsi="仿宋" w:eastAsia="仿宋" w:cs="仿宋"/>
                <w:i w:val="0"/>
                <w:iCs w:val="0"/>
                <w:color w:val="000000"/>
                <w:kern w:val="0"/>
                <w:sz w:val="24"/>
                <w:szCs w:val="24"/>
                <w:u w:val="none"/>
                <w:lang w:val="en-US" w:eastAsia="zh-CN" w:bidi="ar"/>
              </w:rPr>
            </w:pPr>
          </w:p>
        </w:tc>
        <w:tc>
          <w:tcPr>
            <w:tcW w:w="1689" w:type="dxa"/>
            <w:vMerge w:val="continue"/>
            <w:vAlign w:val="center"/>
          </w:tcPr>
          <w:p w14:paraId="558B09E0">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center"/>
              <w:textAlignment w:val="center"/>
              <w:rPr>
                <w:rFonts w:hint="default" w:ascii="仿宋" w:hAnsi="仿宋" w:eastAsia="仿宋" w:cs="仿宋"/>
                <w:i w:val="0"/>
                <w:iCs w:val="0"/>
                <w:color w:val="000000"/>
                <w:kern w:val="0"/>
                <w:sz w:val="24"/>
                <w:szCs w:val="24"/>
                <w:u w:val="none"/>
                <w:lang w:val="en-US" w:eastAsia="zh-CN" w:bidi="ar"/>
              </w:rPr>
            </w:pPr>
          </w:p>
        </w:tc>
        <w:tc>
          <w:tcPr>
            <w:tcW w:w="2901" w:type="dxa"/>
            <w:vAlign w:val="center"/>
          </w:tcPr>
          <w:p w14:paraId="2018A628">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应用防火墙（WAF）</w:t>
            </w:r>
          </w:p>
        </w:tc>
        <w:tc>
          <w:tcPr>
            <w:tcW w:w="1676" w:type="dxa"/>
            <w:vAlign w:val="center"/>
          </w:tcPr>
          <w:p w14:paraId="5B2B0323">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1436" w:type="dxa"/>
            <w:vAlign w:val="center"/>
          </w:tcPr>
          <w:p w14:paraId="248582BE">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台</w:t>
            </w:r>
          </w:p>
        </w:tc>
      </w:tr>
      <w:tr w14:paraId="730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54A4762D">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689" w:type="dxa"/>
            <w:vMerge w:val="continue"/>
            <w:vAlign w:val="center"/>
          </w:tcPr>
          <w:p w14:paraId="77FA1D92">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center"/>
              <w:textAlignment w:val="center"/>
              <w:rPr>
                <w:rFonts w:hint="default" w:ascii="仿宋" w:hAnsi="仿宋" w:eastAsia="仿宋" w:cs="仿宋"/>
                <w:i w:val="0"/>
                <w:iCs w:val="0"/>
                <w:color w:val="000000"/>
                <w:kern w:val="0"/>
                <w:sz w:val="24"/>
                <w:szCs w:val="24"/>
                <w:u w:val="none"/>
                <w:lang w:val="en-US" w:eastAsia="zh-CN" w:bidi="ar"/>
              </w:rPr>
            </w:pPr>
          </w:p>
        </w:tc>
        <w:tc>
          <w:tcPr>
            <w:tcW w:w="2901" w:type="dxa"/>
            <w:vAlign w:val="center"/>
          </w:tcPr>
          <w:p w14:paraId="2F74B8FD">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漏洞扫描设备</w:t>
            </w:r>
          </w:p>
        </w:tc>
        <w:tc>
          <w:tcPr>
            <w:tcW w:w="1676" w:type="dxa"/>
            <w:vAlign w:val="center"/>
          </w:tcPr>
          <w:p w14:paraId="7F08A674">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1436" w:type="dxa"/>
            <w:vAlign w:val="center"/>
          </w:tcPr>
          <w:p w14:paraId="218569D8">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台</w:t>
            </w:r>
          </w:p>
        </w:tc>
      </w:tr>
      <w:tr w14:paraId="73381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6FD30690">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689" w:type="dxa"/>
            <w:vMerge w:val="continue"/>
            <w:vAlign w:val="center"/>
          </w:tcPr>
          <w:p w14:paraId="1CCA904B">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center"/>
              <w:textAlignment w:val="center"/>
              <w:rPr>
                <w:rFonts w:hint="default" w:ascii="仿宋" w:hAnsi="仿宋" w:eastAsia="仿宋" w:cs="仿宋"/>
                <w:i w:val="0"/>
                <w:iCs w:val="0"/>
                <w:color w:val="000000"/>
                <w:kern w:val="0"/>
                <w:sz w:val="24"/>
                <w:szCs w:val="24"/>
                <w:u w:val="none"/>
                <w:lang w:val="en-US" w:eastAsia="zh-CN" w:bidi="ar"/>
              </w:rPr>
            </w:pPr>
          </w:p>
        </w:tc>
        <w:tc>
          <w:tcPr>
            <w:tcW w:w="2901" w:type="dxa"/>
            <w:vAlign w:val="center"/>
          </w:tcPr>
          <w:p w14:paraId="6075A2F9">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日志审计设备</w:t>
            </w:r>
          </w:p>
        </w:tc>
        <w:tc>
          <w:tcPr>
            <w:tcW w:w="1676" w:type="dxa"/>
            <w:vAlign w:val="center"/>
          </w:tcPr>
          <w:p w14:paraId="0FC8009C">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1436" w:type="dxa"/>
            <w:vAlign w:val="center"/>
          </w:tcPr>
          <w:p w14:paraId="2ECC4502">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台</w:t>
            </w:r>
          </w:p>
        </w:tc>
      </w:tr>
    </w:tbl>
    <w:p w14:paraId="21A6FA7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仿宋_GB2312" w:hAnsi="方正仿宋_GB2312" w:eastAsia="方正仿宋_GB2312" w:cs="方正仿宋_GB2312"/>
          <w:color w:val="auto"/>
          <w:kern w:val="0"/>
          <w:sz w:val="32"/>
          <w:szCs w:val="32"/>
          <w:highlight w:val="none"/>
          <w:lang w:val="en-US" w:eastAsia="zh-CN" w:bidi="ar-SA"/>
        </w:rPr>
      </w:pPr>
      <w:bookmarkStart w:id="4" w:name="_GoBack"/>
      <w:bookmarkEnd w:id="4"/>
      <w:r>
        <w:rPr>
          <w:rFonts w:hint="eastAsia" w:ascii="方正仿宋_GB2312" w:hAnsi="方正仿宋_GB2312" w:eastAsia="方正仿宋_GB2312" w:cs="方正仿宋_GB2312"/>
          <w:color w:val="auto"/>
          <w:kern w:val="0"/>
          <w:sz w:val="32"/>
          <w:szCs w:val="32"/>
          <w:highlight w:val="none"/>
          <w:lang w:val="en-US" w:eastAsia="zh-CN" w:bidi="ar-SA"/>
        </w:rPr>
        <w:t>2.技术参数</w:t>
      </w:r>
    </w:p>
    <w:tbl>
      <w:tblPr>
        <w:tblStyle w:val="2"/>
        <w:tblW w:w="88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3"/>
        <w:gridCol w:w="951"/>
        <w:gridCol w:w="7231"/>
      </w:tblGrid>
      <w:tr w14:paraId="2A43C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A909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 序号</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87BA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产品名称</w:t>
            </w:r>
          </w:p>
        </w:tc>
        <w:tc>
          <w:tcPr>
            <w:tcW w:w="7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23C7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功能需求</w:t>
            </w:r>
          </w:p>
        </w:tc>
      </w:tr>
      <w:tr w14:paraId="4C15D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D9FD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8F13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kern w:val="0"/>
                <w:sz w:val="22"/>
                <w:szCs w:val="22"/>
                <w:u w:val="none"/>
                <w:lang w:val="en-US" w:eastAsia="zh-CN" w:bidi="ar"/>
              </w:rPr>
            </w:pPr>
          </w:p>
          <w:p w14:paraId="77BEE14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堡垒机</w:t>
            </w:r>
          </w:p>
          <w:p w14:paraId="1D1E1A6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2"/>
                <w:szCs w:val="22"/>
                <w:u w:val="none"/>
                <w:lang w:val="en-US" w:eastAsia="zh-CN" w:bidi="ar"/>
              </w:rPr>
            </w:pPr>
          </w:p>
        </w:tc>
        <w:tc>
          <w:tcPr>
            <w:tcW w:w="7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EC3E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2"/>
                <w:szCs w:val="22"/>
                <w:u w:val="none"/>
                <w:lang w:val="en-US" w:eastAsia="zh-CN" w:bidi="ar"/>
              </w:rPr>
            </w:pPr>
            <w:bookmarkStart w:id="0" w:name="OLE_LINK1"/>
            <w:r>
              <w:rPr>
                <w:rFonts w:hint="eastAsia" w:ascii="仿宋" w:hAnsi="仿宋" w:eastAsia="仿宋" w:cs="仿宋"/>
                <w:i w:val="0"/>
                <w:iCs w:val="0"/>
                <w:color w:val="000000"/>
                <w:kern w:val="0"/>
                <w:sz w:val="22"/>
                <w:szCs w:val="22"/>
                <w:u w:val="none"/>
                <w:lang w:val="en-US" w:eastAsia="zh-CN" w:bidi="ar"/>
              </w:rPr>
              <w:t>★1.标准机架式设备；千兆电口≥6个，扩展槽≥2个，内存≥16G，硬盘≥2T，交流冗余电源；≥100个IP管理授权。</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★2.支持对违规运维操作进行报警和阻断；支持对运维操作进行全程审计，能够以录屏方式记录和回放操作过程。</w:t>
            </w:r>
          </w:p>
          <w:p w14:paraId="4FBBC34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3.支持实时运维会话监控；支持异常行为告警功能。</w:t>
            </w:r>
          </w:p>
          <w:p w14:paraId="5BFB652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▲4.支持批量运维管理功能，运维人员可通过创建策略的方式，勾选相应资产与协议生成批量运维策略，实现批量快捷登录。</w:t>
            </w:r>
          </w:p>
          <w:p w14:paraId="0B36494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5.支持密码全生命周期管理，能够定期自动修改密码，防止弱口令等安全风险。</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▲6.支持通过SNMP协议对资产进行运行状态的监控，监控内容包括但不限于CPU、内存、磁盘、发送流量、接收流量等，能够通过百分比设定阈值进行告警，告警级别可自由设定。</w:t>
            </w:r>
          </w:p>
          <w:p w14:paraId="60D5523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7.支持实时会话监控功能，审计员可在运维人员操作过程中实时监控会话，发现危险行为时可实时阻断，该监控过程对运维人员无感知。</w:t>
            </w:r>
          </w:p>
          <w:p w14:paraId="5BF35A1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8.支持报表统计功能，可对运维人员的操作行为及操作内容进行统计汇总；系统内置报表模板，同时支持用户自定义报表模板，可根据需要创建涵盖系统全量数据的报表。</w:t>
            </w:r>
          </w:p>
          <w:p w14:paraId="25A7D04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▲9.支持双因素身份认证（如USB Key+密码、短信验证码+密码等至少两种认证因素的组合）。</w:t>
            </w:r>
            <w:bookmarkEnd w:id="0"/>
          </w:p>
          <w:p w14:paraId="3926381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▲10.加密卡支持国密SM2/SM3/SM4算法（提供国家密码管理局颁发的《商用密码产品认证证书》（二级））。</w:t>
            </w:r>
          </w:p>
          <w:p w14:paraId="1545032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▲11.支持IPv4和IPv6双栈网络环境部署和运维管理。</w:t>
            </w:r>
          </w:p>
          <w:p w14:paraId="1841340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仿宋" w:hAnsi="仿宋" w:eastAsia="仿宋" w:cs="仿宋"/>
                <w:i w:val="0"/>
                <w:iCs w:val="0"/>
                <w:color w:val="0000FF"/>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▲12.提供不少于3年制造商质保服务。</w:t>
            </w:r>
          </w:p>
        </w:tc>
      </w:tr>
      <w:tr w14:paraId="63CB5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0FA3A">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2</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7A51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2"/>
                <w:szCs w:val="22"/>
                <w:u w:val="none"/>
                <w:lang w:val="en-US" w:eastAsia="zh-CN" w:bidi="ar"/>
              </w:rPr>
            </w:pPr>
            <w:bookmarkStart w:id="1" w:name="OLE_LINK3"/>
            <w:r>
              <w:rPr>
                <w:rFonts w:hint="eastAsia" w:ascii="仿宋" w:hAnsi="仿宋" w:eastAsia="仿宋" w:cs="仿宋"/>
                <w:i w:val="0"/>
                <w:iCs w:val="0"/>
                <w:color w:val="000000"/>
                <w:kern w:val="0"/>
                <w:sz w:val="22"/>
                <w:szCs w:val="22"/>
                <w:u w:val="none"/>
                <w:lang w:val="en-US" w:eastAsia="zh-CN" w:bidi="ar"/>
              </w:rPr>
              <w:t>应用防火墙（WAF）</w:t>
            </w:r>
          </w:p>
          <w:bookmarkEnd w:id="1"/>
          <w:p w14:paraId="3006A92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仿宋" w:hAnsi="仿宋" w:eastAsia="仿宋" w:cs="仿宋"/>
                <w:i w:val="0"/>
                <w:iCs w:val="0"/>
                <w:color w:val="000000"/>
                <w:kern w:val="0"/>
                <w:sz w:val="22"/>
                <w:szCs w:val="22"/>
                <w:u w:val="none"/>
                <w:lang w:val="en-US" w:eastAsia="zh-CN" w:bidi="ar"/>
              </w:rPr>
            </w:pPr>
          </w:p>
        </w:tc>
        <w:tc>
          <w:tcPr>
            <w:tcW w:w="7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8C3F6">
            <w:pPr>
              <w:keepNext w:val="0"/>
              <w:keepLines w:val="0"/>
              <w:pageBreakBefore w:val="0"/>
              <w:widowControl/>
              <w:numPr>
                <w:ilvl w:val="0"/>
                <w:numId w:val="0"/>
              </w:numPr>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★1.标准机架式设备；千兆电口≥6个，万兆光口≥2个，扩展槽≥2个，内存≥16G，硬盘≥2T，冗余电源；HTTP吞吐量≥1Gbps， HTTP新建（CPS）≥5,000/s; HTTP最大并发连接数：≥20W。</w:t>
            </w:r>
          </w:p>
          <w:p w14:paraId="52B893D0">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2.支持非法URL外联检测功能，可对特定外联URL进行监控或阻断，并支持自定义URL地址。</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▲3.支持API合规性校验与API威胁检测，具备对Web界面进行检测的能力，能够发现网页篡改、注入、跨站脚本、跨站请求伪造等攻击。</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▲4.支持对自动化攻击的防护，能够精准识别并拦截常见Web扫描工具的扫描行为，例如WVS、Appscan、Nessus等工具。</w:t>
            </w:r>
          </w:p>
          <w:p w14:paraId="20A15EA5">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5.支持语义分析及智能封禁功能。根据对网站发起的攻击次数、危害等级进行算法分析识别，自动实施智能封禁，并支持自定义攻击者封禁时长。</w:t>
            </w:r>
          </w:p>
          <w:p w14:paraId="1BC8A272">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pPr>
            <w:r>
              <w:rPr>
                <w:rFonts w:hint="eastAsia" w:ascii="仿宋" w:hAnsi="仿宋" w:eastAsia="仿宋" w:cs="仿宋"/>
                <w:i w:val="0"/>
                <w:iCs w:val="0"/>
                <w:color w:val="000000"/>
                <w:kern w:val="0"/>
                <w:sz w:val="22"/>
                <w:szCs w:val="22"/>
                <w:u w:val="none"/>
                <w:lang w:val="en-US" w:eastAsia="zh-CN" w:bidi="ar"/>
              </w:rPr>
              <w:t>6.支持常见攻击防护，包括但不限于SQL注入、XSS、命令注入、反序列化攻击，以及LDAP注入、XPATH注入、XML注入、SSI注入、JSON注入等注入攻击；支持跨站脚本攻击防护。</w:t>
            </w:r>
          </w:p>
          <w:p w14:paraId="4D583920">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▲7.支持HTTPS深度分析能力，支持服务端加密套件自定义配置。</w:t>
            </w:r>
          </w:p>
          <w:p w14:paraId="6BD0B0A4">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▲8.支持IPv4和IPv6双栈网络环境下的WEB安全防护；</w:t>
            </w:r>
          </w:p>
        </w:tc>
      </w:tr>
      <w:tr w14:paraId="7A8EC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8D4F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3</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BB4D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kern w:val="0"/>
                <w:sz w:val="22"/>
                <w:szCs w:val="22"/>
                <w:u w:val="none"/>
                <w:lang w:val="en-US" w:eastAsia="zh-CN" w:bidi="ar"/>
              </w:rPr>
            </w:pPr>
            <w:bookmarkStart w:id="2" w:name="OLE_LINK4"/>
          </w:p>
          <w:p w14:paraId="25E3B09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漏洞扫描设备</w:t>
            </w:r>
          </w:p>
          <w:bookmarkEnd w:id="2"/>
          <w:p w14:paraId="5C4D310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2"/>
                <w:szCs w:val="22"/>
                <w:u w:val="none"/>
                <w:lang w:val="en-US" w:eastAsia="zh-CN" w:bidi="ar"/>
              </w:rPr>
            </w:pPr>
          </w:p>
        </w:tc>
        <w:tc>
          <w:tcPr>
            <w:tcW w:w="7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F3DC9">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标准机架式设备；千兆电口≥6个，万兆光口≥2个，扩展口≥2个；1个Console口；内存≥8GB，硬盘≥2TB；可添加IP、域名或站点数量无限制；系统扫描任务最大并发数≥6，系统扫描IP总并发数≥100，Web扫描任务最大并发数≥4，口令猜解任务最大并发数≥5。</w:t>
            </w:r>
          </w:p>
          <w:p w14:paraId="13A1ED34">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2.系统应内置覆盖系统漏洞、Web漏洞、数据库漏洞、弱口令检测、基线配置核查、镜像检测的六大扫描模块，且各模块支持基于目标场景的动态参数自定义与策略下发，实现灵活的安全检测。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▲3.支持针对指定IP段一键联合下发多引擎任务，可同时触发系统漏洞扫描、Web漏洞扫描、弱口令扫描三大检测任务；其中Web扫描引擎应具备对目标网段的在线网站自动发现及即时联动扫描能力。</w:t>
            </w:r>
          </w:p>
          <w:p w14:paraId="1F70937A">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4.提供立即扫描、定时扫描、周期性扫描等多种执行方式。</w:t>
            </w:r>
          </w:p>
          <w:p w14:paraId="2EC30C05">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5.扫描任务实时监控面板，扫描执行期间可动态查看任务进度百分比、已识别主机列表及已检出漏洞信息，随时掌握检测状态。</w:t>
            </w:r>
          </w:p>
          <w:p w14:paraId="192D3D55">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6.系统内置的系统漏洞检测规则库须覆盖CVE、CVSS、CNVD、CNNVD等国内外主流漏洞标准，规则库总数不低于60万条）。</w:t>
            </w:r>
          </w:p>
          <w:p w14:paraId="47894E65">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▲7.全面适配国产化生态，支持对国产操作系统、国产中间件及应用软件、国产数据库等进行专项漏洞检测。</w:t>
            </w:r>
          </w:p>
          <w:p w14:paraId="34B0016F">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▲8.支持IPv4和IPv6双栈网络环境下的漏洞扫描。</w:t>
            </w:r>
          </w:p>
        </w:tc>
      </w:tr>
      <w:tr w14:paraId="2FDBF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20" w:hRule="atLeast"/>
        </w:trPr>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6403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sz w:val="22"/>
                <w:szCs w:val="22"/>
                <w:u w:val="none"/>
                <w:lang w:val="en-US" w:eastAsia="zh-CN"/>
              </w:rPr>
            </w:pPr>
            <w:bookmarkStart w:id="3" w:name="OLE_LINK5" w:colFirst="2" w:colLast="2"/>
            <w:r>
              <w:rPr>
                <w:rFonts w:hint="eastAsia" w:ascii="仿宋" w:hAnsi="仿宋" w:eastAsia="仿宋" w:cs="仿宋"/>
                <w:i w:val="0"/>
                <w:iCs w:val="0"/>
                <w:color w:val="000000"/>
                <w:sz w:val="22"/>
                <w:szCs w:val="22"/>
                <w:u w:val="none"/>
                <w:lang w:val="en-US" w:eastAsia="zh-CN"/>
              </w:rPr>
              <w:t>4</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05A1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kern w:val="0"/>
                <w:sz w:val="22"/>
                <w:szCs w:val="22"/>
                <w:u w:val="none"/>
                <w:lang w:val="en-US" w:eastAsia="zh-CN" w:bidi="ar"/>
              </w:rPr>
            </w:pPr>
          </w:p>
          <w:p w14:paraId="286D6D1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日志审计设备</w:t>
            </w:r>
          </w:p>
          <w:p w14:paraId="7B5D811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2"/>
                <w:szCs w:val="22"/>
                <w:u w:val="none"/>
                <w:lang w:val="en-US" w:eastAsia="zh-CN" w:bidi="ar"/>
              </w:rPr>
            </w:pPr>
          </w:p>
        </w:tc>
        <w:tc>
          <w:tcPr>
            <w:tcW w:w="7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EAFBD">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★1.标准机架式设备；硬盘≥4TB，内存≥16GB；千兆电口≥6个，万兆光口≥2个，扩展槽≥2个；交流双电源；日志处理能力≥15000 EPS；支持不少于200个管理设备授权；支持硬盘扩容。</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2.支持多种设备日志接入，包括主机设备、网络设备、安全设备、操作系统、应用系统、数据库等。</w:t>
            </w:r>
          </w:p>
          <w:p w14:paraId="16CF2FEC">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3.支持多种日志采集协议，包含但不限于Syslog、SNMP Trap、JDBC、SSH、SFTP/FTP、WMI、Netflow、Kafka。</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4.支持原始日志的聚合分析能力，具备日志防篡改、自动备份、智能解析功能。</w:t>
            </w:r>
          </w:p>
          <w:p w14:paraId="76430458">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▲5.支持关联分析功能，包括基于因果关系的状态关联分析、基于异常统计模型的检查分析；支持自定义关联策略的复制、导入、导出。</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支持可视化配置日志聚合策略，可按单一或组合日志属性作为聚合规则。聚合属性应至少包括：事件等级、事件类型、设备种类、设备类型、日志编号、协议、发生源IP、源IP、源端口、目的IP、目的端口、事件名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7.支持威胁情报事件的关键字查询和精确查询；支持查看威胁情报事件详细信息及原始日志追溯。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8.支持根据事件主体、事件客体、事件类型、级别等特征对日志进行统计，并导出统计分析报表；同时支持与事件告警功能模块联动，生成事件告警信息。</w:t>
            </w:r>
          </w:p>
          <w:p w14:paraId="06D31F3B">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9.支持对安全事件、关联事件、威胁事件分别制定审计策略，形成审计事件；审计事件内容至少包括事件名称、事件级别、审计类型、审计策略、产生时间、更新时间、事件总数；点击详情可查看事件详情和事件溯源信息。</w:t>
            </w:r>
          </w:p>
          <w:p w14:paraId="22F31565">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jc w:val="lef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▲10.支持IPv4和IPv6双栈网络环境下的日志采集与分析。</w:t>
            </w:r>
          </w:p>
        </w:tc>
      </w:tr>
      <w:bookmarkEnd w:id="3"/>
    </w:tbl>
    <w:p w14:paraId="31EC140F">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楷体_GB2312" w:eastAsia="楷体_GB2312" w:cstheme="minorBidi"/>
          <w:kern w:val="2"/>
          <w:sz w:val="32"/>
          <w:szCs w:val="32"/>
          <w:lang w:val="en-US" w:eastAsia="zh-CN" w:bidi="ar-SA"/>
        </w:rPr>
      </w:pPr>
      <w:r>
        <w:rPr>
          <w:rFonts w:hint="eastAsia" w:ascii="楷体_GB2312" w:eastAsia="楷体_GB2312" w:cstheme="minorBidi"/>
          <w:kern w:val="2"/>
          <w:sz w:val="32"/>
          <w:szCs w:val="32"/>
          <w:lang w:val="en-US" w:eastAsia="zh-CN" w:bidi="ar-SA"/>
        </w:rPr>
        <w:t>（二）服务要求：</w:t>
      </w:r>
    </w:p>
    <w:p w14:paraId="2A93C005">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★1.证书及资质要求</w:t>
      </w:r>
    </w:p>
    <w:p w14:paraId="0BCC165E">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（1）所投产品须具备软件著作权登记证书，产品为原厂商自主研发，非OEM或贴牌产品，支持官方渠道验证。</w:t>
      </w:r>
    </w:p>
    <w:p w14:paraId="6109A2E2">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2）所投产品须满足网信办牵头发布的《关于调整网络安全专用产品安全管理有关事项的公告》，提供有效期内的《计算机信息系统安全专用产品销售许可证》或《网络安全专用产品安全检测证书》或《网络安全专用产品安全认证证书》。</w:t>
      </w:r>
    </w:p>
    <w:p w14:paraId="12C8397F">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default"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（3）提供不少于3年制造商质保服务。</w:t>
      </w:r>
    </w:p>
    <w:p w14:paraId="2F897FEE">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2.安装部署服务</w:t>
      </w:r>
    </w:p>
    <w:p w14:paraId="7DB1AE7F">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80" w:firstLineChars="200"/>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仿宋" w:hAnsi="仿宋" w:eastAsia="仿宋" w:cs="仿宋"/>
          <w:i w:val="0"/>
          <w:iCs w:val="0"/>
          <w:color w:val="000000"/>
          <w:kern w:val="0"/>
          <w:sz w:val="24"/>
          <w:szCs w:val="24"/>
          <w:u w:val="none"/>
          <w:lang w:val="en-US" w:eastAsia="zh-CN" w:bidi="ar"/>
        </w:rPr>
        <w:t>★</w:t>
      </w:r>
      <w:r>
        <w:rPr>
          <w:rFonts w:hint="eastAsia" w:ascii="方正仿宋_GB2312" w:hAnsi="方正仿宋_GB2312" w:eastAsia="方正仿宋_GB2312" w:cs="方正仿宋_GB2312"/>
          <w:color w:val="auto"/>
          <w:kern w:val="0"/>
          <w:sz w:val="32"/>
          <w:szCs w:val="32"/>
          <w:highlight w:val="none"/>
          <w:lang w:val="en-US" w:eastAsia="zh-CN" w:bidi="ar-SA"/>
        </w:rPr>
        <w:t>（1）</w:t>
      </w:r>
      <w:r>
        <w:rPr>
          <w:rFonts w:hint="default" w:ascii="方正仿宋_GB2312" w:hAnsi="方正仿宋_GB2312" w:eastAsia="方正仿宋_GB2312" w:cs="方正仿宋_GB2312"/>
          <w:color w:val="auto"/>
          <w:kern w:val="0"/>
          <w:sz w:val="32"/>
          <w:szCs w:val="32"/>
          <w:highlight w:val="none"/>
          <w:lang w:val="en-US" w:eastAsia="zh-CN" w:bidi="ar-SA"/>
        </w:rPr>
        <w:t>供应商负责所投产品的安装、调试、部署及上线运行的全部工作，确保系统上线后正常运行</w:t>
      </w:r>
      <w:r>
        <w:rPr>
          <w:rFonts w:hint="eastAsia" w:ascii="方正仿宋_GB2312" w:hAnsi="方正仿宋_GB2312" w:eastAsia="方正仿宋_GB2312" w:cs="方正仿宋_GB2312"/>
          <w:color w:val="auto"/>
          <w:kern w:val="0"/>
          <w:sz w:val="32"/>
          <w:szCs w:val="32"/>
          <w:highlight w:val="none"/>
          <w:lang w:val="en-US" w:eastAsia="zh-CN" w:bidi="ar-SA"/>
        </w:rPr>
        <w:t>。</w:t>
      </w:r>
    </w:p>
    <w:p w14:paraId="007F9209">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80" w:firstLineChars="200"/>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仿宋" w:hAnsi="仿宋" w:eastAsia="仿宋" w:cs="仿宋"/>
          <w:i w:val="0"/>
          <w:iCs w:val="0"/>
          <w:color w:val="000000"/>
          <w:kern w:val="0"/>
          <w:sz w:val="24"/>
          <w:szCs w:val="24"/>
          <w:u w:val="none"/>
          <w:lang w:val="en-US" w:eastAsia="zh-CN" w:bidi="ar"/>
        </w:rPr>
        <w:t>★</w:t>
      </w:r>
      <w:r>
        <w:rPr>
          <w:rFonts w:hint="eastAsia" w:ascii="方正仿宋_GB2312" w:hAnsi="方正仿宋_GB2312" w:eastAsia="方正仿宋_GB2312" w:cs="方正仿宋_GB2312"/>
          <w:color w:val="auto"/>
          <w:kern w:val="0"/>
          <w:sz w:val="32"/>
          <w:szCs w:val="32"/>
          <w:highlight w:val="none"/>
          <w:lang w:val="en-US" w:eastAsia="zh-CN" w:bidi="ar-SA"/>
        </w:rPr>
        <w:t>（2）供应商须确保新设备IP地址、管理VLAN、业务VLAN与采购人现网配置保持一致，确保与采购人现有网络环境、管理平台实现标准协议互通，不影响现有业务正常运行，实现业务平滑过渡。</w:t>
      </w:r>
    </w:p>
    <w:p w14:paraId="4D8889F5">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80" w:firstLineChars="200"/>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仿宋" w:hAnsi="仿宋" w:eastAsia="仿宋" w:cs="仿宋"/>
          <w:i w:val="0"/>
          <w:iCs w:val="0"/>
          <w:color w:val="000000"/>
          <w:kern w:val="0"/>
          <w:sz w:val="24"/>
          <w:szCs w:val="24"/>
          <w:u w:val="none"/>
          <w:lang w:val="en-US" w:eastAsia="zh-CN" w:bidi="ar"/>
        </w:rPr>
        <w:t>★</w:t>
      </w:r>
      <w:r>
        <w:rPr>
          <w:rFonts w:hint="eastAsia" w:ascii="方正仿宋_GB2312" w:hAnsi="方正仿宋_GB2312" w:eastAsia="方正仿宋_GB2312" w:cs="方正仿宋_GB2312"/>
          <w:color w:val="auto"/>
          <w:kern w:val="0"/>
          <w:sz w:val="32"/>
          <w:szCs w:val="32"/>
          <w:highlight w:val="none"/>
          <w:lang w:val="en-US" w:eastAsia="zh-CN" w:bidi="ar-SA"/>
        </w:rPr>
        <w:t>（3）系统部署期间，供应商须制定详细实施方案及应急预案，确保采购人核心业务系统不间断运行；需要断网或重启设备操作的，须提前告知采购人，并安排在业务低峰期进行。</w:t>
      </w:r>
    </w:p>
    <w:p w14:paraId="4319AE02">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（4）部署完成后，供应商须对全部安全策略进行有效性验证测试，提交部署报告及系统配置文档，确保防护策略准确无误。</w:t>
      </w:r>
    </w:p>
    <w:p w14:paraId="18B71C90">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3.规则库升级服务</w:t>
      </w:r>
    </w:p>
    <w:p w14:paraId="5DF370F3">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80" w:firstLineChars="200"/>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仿宋" w:hAnsi="仿宋" w:eastAsia="仿宋" w:cs="仿宋"/>
          <w:i w:val="0"/>
          <w:iCs w:val="0"/>
          <w:color w:val="000000"/>
          <w:kern w:val="0"/>
          <w:sz w:val="24"/>
          <w:szCs w:val="24"/>
          <w:u w:val="none"/>
          <w:lang w:val="en-US" w:eastAsia="zh-CN" w:bidi="ar"/>
        </w:rPr>
        <w:t>★</w:t>
      </w:r>
      <w:r>
        <w:rPr>
          <w:rFonts w:hint="eastAsia" w:ascii="方正仿宋_GB2312" w:hAnsi="方正仿宋_GB2312" w:eastAsia="方正仿宋_GB2312" w:cs="方正仿宋_GB2312"/>
          <w:color w:val="auto"/>
          <w:kern w:val="0"/>
          <w:sz w:val="32"/>
          <w:szCs w:val="32"/>
          <w:highlight w:val="none"/>
          <w:lang w:val="en-US" w:eastAsia="zh-CN" w:bidi="ar-SA"/>
        </w:rPr>
        <w:t>（1）验收合格之日起，提供不少于3年规则库在线升级服务（含WAF规则库、漏洞扫描漏洞库等），确保防护规则持续更新。</w:t>
      </w:r>
    </w:p>
    <w:p w14:paraId="150AF8CB">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320" w:firstLineChars="100"/>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▲（2）对于采购人临时通报的高危漏洞，供应商须在漏洞公开披露后72小时内提供应急防护规则或更新检测规则，支持采购人快速应对。</w:t>
      </w:r>
    </w:p>
    <w:p w14:paraId="5EE0570A">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4.培训服务</w:t>
      </w:r>
    </w:p>
    <w:p w14:paraId="725BE93E">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（1）全部设备上线后，供应商须对采购人安全运维人员进行现场操作培训，培训内容涵盖各系统日常运维操作、告警日志分析研判、策略配置调整、系统管理维护等。</w:t>
      </w:r>
    </w:p>
    <w:p w14:paraId="2D58AD76">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（2）通过培训，确保采购人相关操作人员培训后能够独立完成各系统日常运维操作，具备安全事件基本处置能力。</w:t>
      </w:r>
    </w:p>
    <w:p w14:paraId="350932A9">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5.售后服务</w:t>
      </w:r>
    </w:p>
    <w:p w14:paraId="20F84B9D">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80" w:firstLineChars="200"/>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仿宋" w:hAnsi="仿宋" w:eastAsia="仿宋" w:cs="仿宋"/>
          <w:i w:val="0"/>
          <w:iCs w:val="0"/>
          <w:color w:val="000000"/>
          <w:kern w:val="0"/>
          <w:sz w:val="24"/>
          <w:szCs w:val="24"/>
          <w:u w:val="none"/>
          <w:lang w:val="en-US" w:eastAsia="zh-CN" w:bidi="ar"/>
        </w:rPr>
        <w:t>★</w:t>
      </w:r>
      <w:r>
        <w:rPr>
          <w:rFonts w:hint="eastAsia" w:ascii="方正仿宋_GB2312" w:hAnsi="方正仿宋_GB2312" w:eastAsia="方正仿宋_GB2312" w:cs="方正仿宋_GB2312"/>
          <w:color w:val="auto"/>
          <w:kern w:val="0"/>
          <w:sz w:val="32"/>
          <w:szCs w:val="32"/>
          <w:highlight w:val="none"/>
          <w:lang w:val="en-US" w:eastAsia="zh-CN" w:bidi="ar-SA"/>
        </w:rPr>
        <w:t>（1）质保期内，提供7×24小时技术支持服务；电话响应≤30分钟；远程无法解决时，工程师须在4小时内到达采购人现场。</w:t>
      </w:r>
    </w:p>
    <w:p w14:paraId="54EECAB5">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80" w:firstLineChars="200"/>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仿宋" w:hAnsi="仿宋" w:eastAsia="仿宋" w:cs="仿宋"/>
          <w:i w:val="0"/>
          <w:iCs w:val="0"/>
          <w:color w:val="000000"/>
          <w:kern w:val="0"/>
          <w:sz w:val="24"/>
          <w:szCs w:val="24"/>
          <w:u w:val="none"/>
          <w:lang w:val="en-US" w:eastAsia="zh-CN" w:bidi="ar"/>
        </w:rPr>
        <w:t>▲</w:t>
      </w:r>
      <w:r>
        <w:rPr>
          <w:rFonts w:hint="eastAsia" w:ascii="方正仿宋_GB2312" w:hAnsi="方正仿宋_GB2312" w:eastAsia="方正仿宋_GB2312" w:cs="方正仿宋_GB2312"/>
          <w:color w:val="auto"/>
          <w:kern w:val="0"/>
          <w:sz w:val="32"/>
          <w:szCs w:val="32"/>
          <w:highlight w:val="none"/>
          <w:lang w:val="en-US" w:eastAsia="zh-CN" w:bidi="ar-SA"/>
        </w:rPr>
        <w:t>（2）系统故障导致无法正常防护或日志采集中断时，须在8小时内恢复系统正常运行；重大安全事件发生时，供应商须在2小时内响应，配合采购人进行应急处置和分析。</w:t>
      </w:r>
    </w:p>
    <w:p w14:paraId="5E61CABB">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（3）质保期内免费提供固件升级、安全补丁更新服务。升级操作须提前告知采购人，并安排在业务低峰期或经采购人同意的时段进行。</w:t>
      </w:r>
    </w:p>
    <w:p w14:paraId="68D610AA">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default" w:ascii="方正仿宋_GB2312" w:hAnsi="方正仿宋_GB2312" w:eastAsia="方正仿宋_GB2312" w:cs="方正仿宋_GB2312"/>
          <w:color w:val="auto"/>
          <w:kern w:val="0"/>
          <w:sz w:val="32"/>
          <w:szCs w:val="32"/>
          <w:highlight w:val="none"/>
          <w:lang w:val="en-US" w:eastAsia="zh-CN" w:bidi="ar-SA"/>
        </w:rPr>
      </w:pPr>
      <w:r>
        <w:rPr>
          <w:rFonts w:hint="eastAsia" w:ascii="楷体_GB2312" w:eastAsia="楷体_GB2312" w:cstheme="minorBidi"/>
          <w:kern w:val="2"/>
          <w:sz w:val="32"/>
          <w:szCs w:val="32"/>
          <w:lang w:val="en-US" w:eastAsia="zh-CN" w:bidi="ar-SA"/>
        </w:rPr>
        <w:t>（二）其他要求</w:t>
      </w:r>
    </w:p>
    <w:p w14:paraId="0F437273">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80" w:firstLineChars="200"/>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仿宋" w:hAnsi="仿宋" w:eastAsia="仿宋" w:cs="仿宋"/>
          <w:i w:val="0"/>
          <w:iCs w:val="0"/>
          <w:color w:val="000000"/>
          <w:kern w:val="0"/>
          <w:sz w:val="24"/>
          <w:szCs w:val="24"/>
          <w:u w:val="none"/>
          <w:lang w:val="en-US" w:eastAsia="zh-CN" w:bidi="ar"/>
        </w:rPr>
        <w:t>★</w:t>
      </w:r>
      <w:r>
        <w:rPr>
          <w:rFonts w:hint="eastAsia" w:ascii="方正仿宋_GB2312" w:hAnsi="方正仿宋_GB2312" w:eastAsia="方正仿宋_GB2312" w:cs="方正仿宋_GB2312"/>
          <w:color w:val="auto"/>
          <w:kern w:val="0"/>
          <w:sz w:val="32"/>
          <w:szCs w:val="32"/>
          <w:highlight w:val="none"/>
          <w:lang w:val="en-US" w:eastAsia="zh-CN" w:bidi="ar-SA"/>
        </w:rPr>
        <w:t>（1）供应商及项目实施人员须遵守国家相关信息安全法律法规及采购人信息安全管理制度，包括但不限于《中华人民共和国网络安全法》《中华人民共和国数据安全法》《中华人民共和国个人信息保护法》。</w:t>
      </w:r>
    </w:p>
    <w:p w14:paraId="6A316B60">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方正仿宋_GB2312" w:hAnsi="方正仿宋_GB2312" w:eastAsia="方正仿宋_GB2312" w:cs="方正仿宋_GB2312"/>
          <w:color w:val="auto"/>
          <w:kern w:val="0"/>
          <w:sz w:val="32"/>
          <w:szCs w:val="32"/>
          <w:highlight w:val="none"/>
          <w:lang w:val="en-US" w:eastAsia="zh-CN" w:bidi="ar-SA"/>
        </w:rPr>
      </w:pPr>
      <w:r>
        <w:rPr>
          <w:rFonts w:hint="eastAsia" w:ascii="方正仿宋_GB2312" w:hAnsi="方正仿宋_GB2312" w:eastAsia="方正仿宋_GB2312" w:cs="方正仿宋_GB2312"/>
          <w:color w:val="auto"/>
          <w:kern w:val="0"/>
          <w:sz w:val="32"/>
          <w:szCs w:val="32"/>
          <w:highlight w:val="none"/>
          <w:lang w:val="en-US" w:eastAsia="zh-CN" w:bidi="ar-SA"/>
        </w:rPr>
        <w:t>（2）供应商须与采购人签订《数据安全与保密协议》，对项目实施及运维过程中接触到的采购人网络拓扑、IP地址、业务系统信息、安全数据等承担保密义务。因供应商或其人员原因导致信息泄露或信息安全事件的，供应商须承担相应的法律责任。</w:t>
      </w:r>
    </w:p>
    <w:p w14:paraId="0E400F64">
      <w:r>
        <w:rPr>
          <w:rFonts w:hint="eastAsia" w:ascii="方正仿宋_GB2312" w:hAnsi="方正仿宋_GB2312" w:eastAsia="方正仿宋_GB2312" w:cs="方正仿宋_GB2312"/>
          <w:color w:val="auto"/>
          <w:kern w:val="0"/>
          <w:sz w:val="32"/>
          <w:szCs w:val="32"/>
          <w:highlight w:val="none"/>
          <w:lang w:val="en-US" w:eastAsia="zh-CN" w:bidi="ar-SA"/>
        </w:rPr>
        <w:t>（3）报价须包含全部设备费、软件授权费、安装部署费、培训费、质保期规则库升级费、质保服务费及税费等所有费用，采购人不再另行支付。</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280B6928-1842-4067-8EE2-5BD18CDE8858}"/>
  </w:font>
  <w:font w:name="方正仿宋_GB2312">
    <w:panose1 w:val="02000000000000000000"/>
    <w:charset w:val="86"/>
    <w:family w:val="auto"/>
    <w:pitch w:val="default"/>
    <w:sig w:usb0="A00002BF" w:usb1="184F6CFA" w:usb2="00000012" w:usb3="00000000" w:csb0="00040001" w:csb1="00000000"/>
    <w:embedRegular r:id="rId2" w:fontKey="{43BE9265-AB55-4736-90D9-A2EF832769FA}"/>
  </w:font>
  <w:font w:name="楷体_GB2312">
    <w:altName w:val="楷体"/>
    <w:panose1 w:val="02010609030101010101"/>
    <w:charset w:val="86"/>
    <w:family w:val="modern"/>
    <w:pitch w:val="default"/>
    <w:sig w:usb0="00000000" w:usb1="00000000" w:usb2="00000010" w:usb3="00000000" w:csb0="00040000" w:csb1="00000000"/>
    <w:embedRegular r:id="rId3" w:fontKey="{21341574-0B8C-48E1-99FD-EF03DD7FFEB1}"/>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embedRegular r:id="rId4" w:fontKey="{DEC858A7-032B-479E-A94B-7E53230BA949}"/>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63FC9B"/>
    <w:multiLevelType w:val="singleLevel"/>
    <w:tmpl w:val="9763FC9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9547E2"/>
    <w:rsid w:val="09866978"/>
    <w:rsid w:val="1644768F"/>
    <w:rsid w:val="259547E2"/>
    <w:rsid w:val="668524C1"/>
    <w:rsid w:val="6F7D3176"/>
    <w:rsid w:val="7CAC13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5">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3373</Words>
  <Characters>3658</Characters>
  <Lines>0</Lines>
  <Paragraphs>0</Paragraphs>
  <TotalTime>0</TotalTime>
  <ScaleCrop>false</ScaleCrop>
  <LinksUpToDate>false</LinksUpToDate>
  <CharactersWithSpaces>3664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2026-09-09T08:59:00Z</dcterms:created>
  <dc:creator>严梦</dc:creator>
  <cp:lastModifiedBy>严梦</cp:lastModifiedBy>
  <dcterms:modified xsi:type="dcterms:W3CDTF">2026-09-18T03:07:49Z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C5D123DE339642D0B2D6D90E2B91A672_11</vt:lpwstr>
  </property>
  <property fmtid="{D5CDD505-2E9C-101B-9397-08002B2CF9AE}" pid="4" name="KSOTemplateDocerSaveRecord">
    <vt:lpwstr>eyJoZGlkIjoiN2IwMmVmZTBjZjZkM2M1NWM3NTZhNzg2MTJkMmRjZDkiLCJ1c2VySWQiOiIxNzAzMzE3OTU1In0=</vt:lpwstr>
  </property>
</Properties>
</file>