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BCDC8">
      <w:pPr>
        <w:pStyle w:val="2"/>
        <w:spacing w:before="0" w:beforeLines="0" w:after="0" w:afterLines="0"/>
        <w:rPr>
          <w:rFonts w:hint="eastAsia" w:ascii="仿宋" w:hAnsi="仿宋" w:eastAsia="仿宋" w:cs="仿宋"/>
          <w:color w:val="auto"/>
        </w:rPr>
      </w:pPr>
      <w:bookmarkStart w:id="0" w:name="_Toc14401"/>
      <w:r>
        <w:rPr>
          <w:rFonts w:hint="eastAsia" w:ascii="仿宋" w:hAnsi="仿宋" w:eastAsia="仿宋" w:cs="仿宋"/>
          <w:color w:val="auto"/>
        </w:rPr>
        <w:t xml:space="preserve"> </w:t>
      </w:r>
      <w:bookmarkStart w:id="1" w:name="_Toc8170"/>
      <w:bookmarkStart w:id="2" w:name="_Toc6178"/>
      <w:r>
        <w:rPr>
          <w:rFonts w:hint="eastAsia" w:ascii="仿宋" w:hAnsi="仿宋" w:eastAsia="仿宋" w:cs="仿宋"/>
          <w:color w:val="auto"/>
        </w:rPr>
        <w:t>招标项目技术、服务及其他商务要求</w:t>
      </w:r>
      <w:bookmarkEnd w:id="0"/>
      <w:bookmarkEnd w:id="1"/>
      <w:bookmarkEnd w:id="2"/>
    </w:p>
    <w:p w14:paraId="5E427655">
      <w:pPr>
        <w:pStyle w:val="10"/>
        <w:spacing w:before="0" w:after="0" w:line="440" w:lineRule="exact"/>
        <w:ind w:firstLine="482" w:firstLineChars="200"/>
        <w:jc w:val="both"/>
        <w:outlineLvl w:val="0"/>
        <w:rPr>
          <w:rFonts w:hint="eastAsia" w:ascii="仿宋" w:hAnsi="仿宋" w:eastAsia="仿宋" w:cs="仿宋"/>
          <w:color w:val="auto"/>
          <w:sz w:val="24"/>
          <w:szCs w:val="24"/>
        </w:rPr>
      </w:pPr>
      <w:r>
        <w:rPr>
          <w:rFonts w:hint="eastAsia" w:ascii="仿宋" w:hAnsi="仿宋" w:eastAsia="仿宋" w:cs="仿宋"/>
          <w:color w:val="auto"/>
          <w:sz w:val="24"/>
          <w:szCs w:val="24"/>
        </w:rPr>
        <w:t>一、项目概述</w:t>
      </w:r>
    </w:p>
    <w:p w14:paraId="6FA98059">
      <w:pPr>
        <w:spacing w:line="440" w:lineRule="exact"/>
        <w:ind w:firstLine="480" w:firstLineChars="200"/>
        <w:rPr>
          <w:rFonts w:hint="eastAsia" w:ascii="仿宋" w:hAnsi="仿宋" w:eastAsia="仿宋" w:cs="仿宋"/>
          <w:color w:val="auto"/>
          <w:kern w:val="0"/>
          <w:sz w:val="24"/>
          <w:szCs w:val="24"/>
          <w:lang w:eastAsia="zh-CN" w:bidi="ar"/>
        </w:rPr>
      </w:pPr>
      <w:r>
        <w:rPr>
          <w:rFonts w:hint="eastAsia" w:ascii="仿宋" w:hAnsi="仿宋" w:eastAsia="仿宋" w:cs="仿宋"/>
          <w:color w:val="auto"/>
          <w:kern w:val="0"/>
          <w:sz w:val="24"/>
          <w:szCs w:val="24"/>
          <w:lang w:bidi="ar"/>
        </w:rPr>
        <w:t>依据国家相关政策法规，</w:t>
      </w:r>
      <w:r>
        <w:rPr>
          <w:rFonts w:hint="eastAsia" w:ascii="仿宋" w:hAnsi="仿宋" w:eastAsia="仿宋" w:cs="仿宋"/>
          <w:color w:val="auto"/>
          <w:kern w:val="28"/>
          <w:sz w:val="24"/>
        </w:rPr>
        <w:t>现公开招标选取第三方服务合作公司</w:t>
      </w:r>
      <w:r>
        <w:rPr>
          <w:rFonts w:hint="eastAsia" w:ascii="仿宋" w:hAnsi="仿宋" w:eastAsia="仿宋" w:cs="仿宋"/>
          <w:color w:val="auto"/>
          <w:kern w:val="28"/>
          <w:sz w:val="24"/>
          <w:lang w:eastAsia="zh-CN"/>
        </w:rPr>
        <w:t>，</w:t>
      </w:r>
      <w:r>
        <w:rPr>
          <w:rFonts w:hint="eastAsia" w:ascii="仿宋" w:hAnsi="仿宋" w:eastAsia="仿宋" w:cs="仿宋"/>
          <w:color w:val="auto"/>
          <w:kern w:val="0"/>
          <w:sz w:val="24"/>
          <w:szCs w:val="24"/>
          <w:lang w:bidi="ar"/>
        </w:rPr>
        <w:t>由采购人提供场地、由成交供应商提供服务开展合作，区域检验中心建设方案服务内容主要包括：</w:t>
      </w:r>
      <w:r>
        <w:rPr>
          <w:rFonts w:hint="eastAsia" w:ascii="仿宋" w:hAnsi="仿宋" w:eastAsia="仿宋" w:cs="仿宋"/>
          <w:b w:val="0"/>
          <w:bCs w:val="0"/>
          <w:color w:val="auto"/>
          <w:kern w:val="0"/>
          <w:sz w:val="24"/>
          <w:szCs w:val="24"/>
          <w:lang w:bidi="ar"/>
        </w:rPr>
        <w:t>区域检验中心检验检测能力提升、区域检验中心信息化建设、区域检验中心冷链物流运输建设</w:t>
      </w:r>
      <w:r>
        <w:rPr>
          <w:rFonts w:hint="eastAsia" w:ascii="仿宋" w:hAnsi="仿宋" w:eastAsia="仿宋" w:cs="仿宋"/>
          <w:b w:val="0"/>
          <w:bCs w:val="0"/>
          <w:color w:val="auto"/>
          <w:kern w:val="0"/>
          <w:sz w:val="24"/>
          <w:szCs w:val="24"/>
          <w:lang w:eastAsia="zh-CN" w:bidi="ar"/>
        </w:rPr>
        <w:t>，</w:t>
      </w:r>
      <w:r>
        <w:rPr>
          <w:rFonts w:hint="eastAsia" w:ascii="仿宋" w:hAnsi="仿宋" w:eastAsia="仿宋" w:cs="仿宋"/>
          <w:b w:val="0"/>
          <w:bCs w:val="0"/>
          <w:color w:val="auto"/>
          <w:kern w:val="0"/>
          <w:sz w:val="24"/>
          <w:szCs w:val="24"/>
          <w:lang w:val="en-US" w:eastAsia="zh-CN" w:bidi="ar"/>
        </w:rPr>
        <w:t>保障检验样本相关数据的准确性、实时同步性、信息一致性。</w:t>
      </w:r>
    </w:p>
    <w:p w14:paraId="3B2CBC3E">
      <w:pPr>
        <w:pStyle w:val="10"/>
        <w:numPr>
          <w:ilvl w:val="0"/>
          <w:numId w:val="1"/>
        </w:numPr>
        <w:spacing w:before="0" w:after="0" w:line="440" w:lineRule="exact"/>
        <w:ind w:firstLine="482" w:firstLineChars="200"/>
        <w:jc w:val="both"/>
        <w:outlineLvl w:val="0"/>
        <w:rPr>
          <w:rFonts w:hint="eastAsia" w:ascii="仿宋" w:hAnsi="仿宋" w:eastAsia="仿宋" w:cs="仿宋"/>
          <w:color w:val="auto"/>
          <w:sz w:val="24"/>
          <w:szCs w:val="24"/>
        </w:rPr>
      </w:pPr>
      <w:r>
        <w:rPr>
          <w:rFonts w:hint="eastAsia" w:ascii="仿宋" w:hAnsi="仿宋" w:eastAsia="仿宋" w:cs="仿宋"/>
          <w:color w:val="auto"/>
          <w:sz w:val="24"/>
          <w:szCs w:val="24"/>
        </w:rPr>
        <w:t>技术服务内容及要求</w:t>
      </w:r>
    </w:p>
    <w:p w14:paraId="50106B5E">
      <w:pPr>
        <w:numPr>
          <w:ilvl w:val="0"/>
          <w:numId w:val="0"/>
        </w:numPr>
        <w:ind w:firstLine="482" w:firstLineChars="200"/>
        <w:outlineLvl w:val="1"/>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w:t>
      </w:r>
      <w:r>
        <w:rPr>
          <w:rFonts w:hint="eastAsia" w:ascii="仿宋" w:hAnsi="仿宋" w:eastAsia="仿宋" w:cs="仿宋"/>
          <w:b/>
          <w:bCs/>
          <w:color w:val="auto"/>
          <w:sz w:val="24"/>
          <w:szCs w:val="24"/>
        </w:rPr>
        <w:t>区域检验中心实验室检测能力提升技术要求</w:t>
      </w:r>
    </w:p>
    <w:p w14:paraId="3900F2E6">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w:t>
      </w:r>
      <w:r>
        <w:rPr>
          <w:rFonts w:hint="eastAsia" w:ascii="仿宋" w:hAnsi="仿宋" w:eastAsia="仿宋" w:cs="仿宋"/>
          <w:color w:val="auto"/>
          <w:kern w:val="0"/>
          <w:sz w:val="24"/>
          <w:szCs w:val="24"/>
          <w:lang w:bidi="ar"/>
        </w:rPr>
        <w:t>建立以</w:t>
      </w:r>
      <w:r>
        <w:rPr>
          <w:rFonts w:hint="eastAsia" w:ascii="仿宋" w:hAnsi="仿宋" w:eastAsia="仿宋" w:cs="仿宋"/>
          <w:color w:val="auto"/>
          <w:kern w:val="0"/>
          <w:sz w:val="24"/>
          <w:szCs w:val="24"/>
          <w:lang w:val="en-US" w:eastAsia="zh-CN" w:bidi="ar"/>
        </w:rPr>
        <w:t>广元市中心医院</w:t>
      </w:r>
      <w:r>
        <w:rPr>
          <w:rFonts w:hint="eastAsia" w:ascii="仿宋" w:hAnsi="仿宋" w:eastAsia="仿宋" w:cs="仿宋"/>
          <w:color w:val="auto"/>
          <w:kern w:val="0"/>
          <w:sz w:val="24"/>
          <w:szCs w:val="24"/>
          <w:lang w:bidi="ar"/>
        </w:rPr>
        <w:t>为依托，辐</w:t>
      </w:r>
      <w:r>
        <w:rPr>
          <w:rFonts w:hint="eastAsia" w:ascii="仿宋" w:hAnsi="仿宋" w:eastAsia="仿宋" w:cs="仿宋"/>
          <w:color w:val="auto"/>
          <w:kern w:val="0"/>
          <w:sz w:val="24"/>
          <w:szCs w:val="24"/>
          <w:highlight w:val="none"/>
          <w:lang w:bidi="ar"/>
        </w:rPr>
        <w:t>射</w:t>
      </w:r>
      <w:r>
        <w:rPr>
          <w:rFonts w:hint="eastAsia" w:ascii="仿宋" w:hAnsi="仿宋" w:eastAsia="仿宋" w:cs="仿宋"/>
          <w:color w:val="auto"/>
          <w:kern w:val="0"/>
          <w:sz w:val="24"/>
          <w:szCs w:val="24"/>
          <w:highlight w:val="none"/>
          <w:lang w:val="en-US" w:eastAsia="zh-CN" w:bidi="ar"/>
        </w:rPr>
        <w:t>广元市及周边</w:t>
      </w:r>
      <w:r>
        <w:rPr>
          <w:rFonts w:hint="eastAsia" w:ascii="仿宋" w:hAnsi="仿宋" w:eastAsia="仿宋" w:cs="仿宋"/>
          <w:color w:val="auto"/>
          <w:kern w:val="0"/>
          <w:sz w:val="24"/>
          <w:szCs w:val="24"/>
          <w:highlight w:val="none"/>
          <w:lang w:bidi="ar"/>
        </w:rPr>
        <w:t>医</w:t>
      </w:r>
      <w:r>
        <w:rPr>
          <w:rFonts w:hint="eastAsia" w:ascii="仿宋" w:hAnsi="仿宋" w:eastAsia="仿宋" w:cs="仿宋"/>
          <w:color w:val="auto"/>
          <w:kern w:val="0"/>
          <w:sz w:val="24"/>
          <w:szCs w:val="24"/>
          <w:lang w:bidi="ar"/>
        </w:rPr>
        <w:t>疗机构、乡镇卫生院和社区卫生服务中心的区域检验中心，在全</w:t>
      </w:r>
      <w:r>
        <w:rPr>
          <w:rFonts w:hint="eastAsia" w:ascii="仿宋" w:hAnsi="仿宋" w:eastAsia="仿宋" w:cs="仿宋"/>
          <w:color w:val="auto"/>
          <w:kern w:val="0"/>
          <w:sz w:val="24"/>
          <w:szCs w:val="24"/>
          <w:lang w:val="en-US" w:eastAsia="zh-CN" w:bidi="ar"/>
        </w:rPr>
        <w:t>市</w:t>
      </w:r>
      <w:r>
        <w:rPr>
          <w:rFonts w:hint="eastAsia" w:ascii="仿宋" w:hAnsi="仿宋" w:eastAsia="仿宋" w:cs="仿宋"/>
          <w:color w:val="auto"/>
          <w:kern w:val="0"/>
          <w:sz w:val="24"/>
          <w:szCs w:val="24"/>
          <w:lang w:bidi="ar"/>
        </w:rPr>
        <w:t>范围内建设标准统一、流程统一、质量统一的实验室管理体系。</w:t>
      </w:r>
    </w:p>
    <w:p w14:paraId="561ECE7F">
      <w:pPr>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r>
        <w:rPr>
          <w:rFonts w:hint="eastAsia" w:ascii="仿宋" w:hAnsi="仿宋" w:eastAsia="仿宋" w:cs="仿宋"/>
          <w:b w:val="0"/>
          <w:bCs/>
          <w:color w:val="auto"/>
          <w:sz w:val="24"/>
          <w:szCs w:val="24"/>
          <w:lang w:val="en-US" w:eastAsia="zh-CN"/>
        </w:rPr>
        <w:t>1.</w:t>
      </w:r>
      <w:r>
        <w:rPr>
          <w:rFonts w:hint="eastAsia" w:ascii="仿宋" w:hAnsi="仿宋" w:eastAsia="仿宋" w:cs="仿宋"/>
          <w:b w:val="0"/>
          <w:bCs/>
          <w:color w:val="auto"/>
          <w:sz w:val="24"/>
          <w:szCs w:val="24"/>
        </w:rPr>
        <w:t>2、</w:t>
      </w:r>
      <w:r>
        <w:rPr>
          <w:rFonts w:hint="eastAsia" w:ascii="仿宋" w:hAnsi="仿宋" w:eastAsia="仿宋" w:cs="仿宋"/>
          <w:color w:val="auto"/>
          <w:sz w:val="24"/>
          <w:szCs w:val="24"/>
        </w:rPr>
        <w:t>成交供应商负责区域检验中心信息网络建设及物流体系建设，需符合采购人实际建设使用需求，分阶段部署，并明确建设目标。最终实现区域检验中心实验室及所覆盖医疗卫生机构信息化统一，实现常</w:t>
      </w:r>
      <w:r>
        <w:rPr>
          <w:rFonts w:hint="eastAsia" w:ascii="仿宋" w:hAnsi="仿宋" w:eastAsia="仿宋" w:cs="仿宋"/>
          <w:color w:val="auto"/>
          <w:sz w:val="24"/>
          <w:szCs w:val="24"/>
          <w:highlight w:val="none"/>
        </w:rPr>
        <w:t>规</w:t>
      </w:r>
      <w:r>
        <w:rPr>
          <w:rFonts w:hint="eastAsia" w:ascii="仿宋" w:hAnsi="仿宋" w:eastAsia="仿宋" w:cs="仿宋"/>
          <w:color w:val="auto"/>
          <w:sz w:val="24"/>
          <w:szCs w:val="24"/>
          <w:highlight w:val="none"/>
          <w:lang w:val="en-US" w:eastAsia="zh-CN"/>
        </w:rPr>
        <w:t>检验</w:t>
      </w:r>
      <w:r>
        <w:rPr>
          <w:rFonts w:hint="eastAsia" w:ascii="仿宋" w:hAnsi="仿宋" w:eastAsia="仿宋" w:cs="仿宋"/>
          <w:color w:val="auto"/>
          <w:sz w:val="24"/>
          <w:szCs w:val="24"/>
          <w:highlight w:val="none"/>
        </w:rPr>
        <w:t>标</w:t>
      </w:r>
      <w:r>
        <w:rPr>
          <w:rFonts w:hint="eastAsia" w:ascii="仿宋" w:hAnsi="仿宋" w:eastAsia="仿宋" w:cs="仿宋"/>
          <w:color w:val="auto"/>
          <w:sz w:val="24"/>
          <w:szCs w:val="24"/>
        </w:rPr>
        <w:t>本及病理标本的收取、运输、并实现实时监控，标本统计数据，检验报告收发</w:t>
      </w:r>
      <w:r>
        <w:rPr>
          <w:rFonts w:hint="eastAsia" w:ascii="仿宋" w:hAnsi="仿宋" w:eastAsia="仿宋" w:cs="仿宋"/>
          <w:color w:val="auto"/>
          <w:sz w:val="24"/>
          <w:szCs w:val="24"/>
          <w:lang w:val="en-US" w:eastAsia="zh-CN"/>
        </w:rPr>
        <w:t>，检验检查结果互传互认。</w:t>
      </w:r>
    </w:p>
    <w:p w14:paraId="7CC43A32">
      <w:pPr>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▲1.3、成交供应商为区域检验中心提供报告解读及质量体系建设等服务。</w:t>
      </w:r>
    </w:p>
    <w:p w14:paraId="072E7CB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负责区域检验中心实验室内所有无法在当地完成检测的项目，统一标本的外送检验工作，并出具检测报告。</w:t>
      </w:r>
    </w:p>
    <w:p w14:paraId="49EEBDA9">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4、结合</w:t>
      </w:r>
      <w:r>
        <w:rPr>
          <w:rFonts w:hint="eastAsia" w:ascii="仿宋" w:hAnsi="仿宋" w:eastAsia="仿宋" w:cs="仿宋"/>
          <w:color w:val="auto"/>
          <w:sz w:val="24"/>
          <w:szCs w:val="24"/>
          <w:lang w:val="en-US" w:eastAsia="zh-CN"/>
        </w:rPr>
        <w:t>广元市</w:t>
      </w:r>
      <w:r>
        <w:rPr>
          <w:rFonts w:hint="eastAsia" w:ascii="仿宋" w:hAnsi="仿宋" w:eastAsia="仿宋" w:cs="仿宋"/>
          <w:color w:val="auto"/>
          <w:sz w:val="24"/>
          <w:szCs w:val="24"/>
        </w:rPr>
        <w:t>实际情况，打造</w:t>
      </w:r>
      <w:r>
        <w:rPr>
          <w:rFonts w:hint="eastAsia" w:ascii="仿宋" w:hAnsi="仿宋" w:eastAsia="仿宋" w:cs="仿宋"/>
          <w:b w:val="0"/>
          <w:bCs w:val="0"/>
          <w:color w:val="auto"/>
          <w:sz w:val="24"/>
          <w:szCs w:val="24"/>
        </w:rPr>
        <w:t>平战结合的智慧区域检验中心</w:t>
      </w:r>
      <w:r>
        <w:rPr>
          <w:rFonts w:hint="eastAsia" w:ascii="仿宋" w:hAnsi="仿宋" w:eastAsia="仿宋" w:cs="仿宋"/>
          <w:color w:val="auto"/>
          <w:sz w:val="24"/>
          <w:szCs w:val="24"/>
        </w:rPr>
        <w:t>，提升地区公共卫生服务水平，提高突发疫情应急防控能力。</w:t>
      </w:r>
    </w:p>
    <w:p w14:paraId="24E977A6">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5、向区域中心实验室提供人员培训整体方案，</w:t>
      </w:r>
      <w:r>
        <w:rPr>
          <w:rFonts w:hint="eastAsia" w:ascii="仿宋" w:hAnsi="仿宋" w:eastAsia="仿宋" w:cs="仿宋"/>
          <w:color w:val="auto"/>
          <w:kern w:val="0"/>
          <w:sz w:val="24"/>
          <w:szCs w:val="24"/>
          <w:lang w:bidi="ar"/>
        </w:rPr>
        <w:t>通过指导建立质量管理体系、流程、SOP、质控及质量防控措施等，并对科室人员进行专业的关联培训。</w:t>
      </w:r>
    </w:p>
    <w:p w14:paraId="63A0FC81">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6、</w:t>
      </w:r>
      <w:r>
        <w:rPr>
          <w:rFonts w:hint="eastAsia" w:ascii="仿宋" w:hAnsi="仿宋" w:eastAsia="仿宋" w:cs="仿宋"/>
          <w:color w:val="auto"/>
          <w:kern w:val="0"/>
          <w:sz w:val="24"/>
          <w:szCs w:val="24"/>
          <w:lang w:bidi="ar"/>
        </w:rPr>
        <w:t>对区域检验中心内所属属医疗机构、乡镇卫生院和社区卫生服务中心的实验室采样流程进行规范培训及实验室质量体系管理培训。</w:t>
      </w:r>
    </w:p>
    <w:p w14:paraId="3625BE2B">
      <w:pPr>
        <w:widowControl/>
        <w:spacing w:line="360" w:lineRule="auto"/>
        <w:ind w:firstLine="480" w:firstLineChars="200"/>
        <w:jc w:val="left"/>
        <w:rPr>
          <w:rFonts w:hint="eastAsia" w:ascii="仿宋" w:hAnsi="仿宋" w:eastAsia="仿宋" w:cs="仿宋"/>
          <w:strike w:val="0"/>
          <w:dstrike w:val="0"/>
          <w:color w:val="auto"/>
          <w:kern w:val="0"/>
          <w:sz w:val="24"/>
          <w:szCs w:val="24"/>
          <w:lang w:val="en-US" w:eastAsia="zh-CN" w:bidi="ar"/>
        </w:rPr>
      </w:pPr>
      <w:r>
        <w:rPr>
          <w:rFonts w:hint="eastAsia" w:ascii="仿宋" w:hAnsi="仿宋" w:eastAsia="仿宋" w:cs="仿宋"/>
          <w:color w:val="auto"/>
          <w:sz w:val="24"/>
          <w:szCs w:val="24"/>
          <w:lang w:val="en-US" w:eastAsia="zh-CN"/>
        </w:rPr>
        <w:t>▲1.7</w:t>
      </w:r>
      <w:r>
        <w:rPr>
          <w:rFonts w:hint="eastAsia" w:ascii="仿宋" w:hAnsi="仿宋" w:eastAsia="仿宋" w:cs="仿宋"/>
          <w:strike w:val="0"/>
          <w:dstrike w:val="0"/>
          <w:color w:val="auto"/>
          <w:kern w:val="0"/>
          <w:sz w:val="24"/>
          <w:szCs w:val="24"/>
          <w:lang w:val="en-US" w:eastAsia="zh-CN" w:bidi="ar"/>
        </w:rPr>
        <w:t>、</w:t>
      </w:r>
      <w:r>
        <w:rPr>
          <w:rFonts w:hint="eastAsia" w:ascii="仿宋" w:hAnsi="仿宋" w:eastAsia="仿宋" w:cs="仿宋"/>
          <w:color w:val="auto"/>
          <w:sz w:val="24"/>
          <w:szCs w:val="24"/>
        </w:rPr>
        <w:t>协同医院建立区域检验中心全面的质量管理体系，根据区域现有实际情况制定区域检验中心工作制度及标准化作业程序。</w:t>
      </w:r>
    </w:p>
    <w:p w14:paraId="5445A034">
      <w:pPr>
        <w:widowControl/>
        <w:spacing w:line="360" w:lineRule="auto"/>
        <w:ind w:firstLine="480" w:firstLineChars="200"/>
        <w:jc w:val="left"/>
        <w:rPr>
          <w:rFonts w:hint="eastAsia" w:ascii="仿宋" w:hAnsi="仿宋" w:eastAsia="仿宋" w:cs="仿宋"/>
          <w:color w:val="4874CB" w:themeColor="accent1"/>
          <w:kern w:val="28"/>
          <w:sz w:val="24"/>
          <w14:textFill>
            <w14:solidFill>
              <w14:schemeClr w14:val="accent1"/>
            </w14:solidFill>
          </w14:textFill>
        </w:rPr>
      </w:pPr>
      <w:r>
        <w:rPr>
          <w:rFonts w:hint="eastAsia" w:ascii="仿宋" w:hAnsi="仿宋" w:eastAsia="仿宋" w:cs="仿宋"/>
          <w:color w:val="auto"/>
          <w:kern w:val="0"/>
          <w:sz w:val="24"/>
          <w:szCs w:val="24"/>
          <w:lang w:val="en-US" w:eastAsia="zh-CN" w:bidi="ar"/>
        </w:rPr>
        <w:t>1.8</w:t>
      </w:r>
      <w:r>
        <w:rPr>
          <w:rFonts w:hint="eastAsia" w:ascii="仿宋" w:hAnsi="仿宋" w:eastAsia="仿宋" w:cs="仿宋"/>
          <w:color w:val="auto"/>
          <w:kern w:val="0"/>
          <w:sz w:val="24"/>
          <w:szCs w:val="24"/>
          <w:lang w:bidi="ar"/>
        </w:rPr>
        <w:t>、实现智慧区域检验中心中心实验室能力提升，后期</w:t>
      </w:r>
      <w:r>
        <w:rPr>
          <w:rFonts w:hint="eastAsia" w:ascii="仿宋" w:hAnsi="仿宋" w:eastAsia="仿宋" w:cs="仿宋"/>
          <w:color w:val="auto"/>
          <w:kern w:val="0"/>
          <w:sz w:val="24"/>
          <w:szCs w:val="24"/>
          <w:lang w:val="en-US" w:eastAsia="zh-CN" w:bidi="ar"/>
        </w:rPr>
        <w:t>可</w:t>
      </w:r>
      <w:r>
        <w:rPr>
          <w:rFonts w:hint="eastAsia" w:ascii="仿宋" w:hAnsi="仿宋" w:eastAsia="仿宋" w:cs="仿宋"/>
          <w:color w:val="auto"/>
          <w:kern w:val="0"/>
          <w:sz w:val="24"/>
          <w:szCs w:val="24"/>
          <w:lang w:bidi="ar"/>
        </w:rPr>
        <w:t>对区域检验中心到期及不满足区域检测需求的设备就行更换升级。</w:t>
      </w:r>
    </w:p>
    <w:p w14:paraId="60790578">
      <w:pPr>
        <w:spacing w:line="440" w:lineRule="exact"/>
        <w:ind w:firstLine="482" w:firstLineChars="200"/>
        <w:outlineLvl w:val="1"/>
        <w:rPr>
          <w:rFonts w:hint="eastAsia" w:ascii="仿宋" w:hAnsi="仿宋" w:eastAsia="仿宋" w:cs="仿宋"/>
          <w:b/>
          <w:bCs/>
          <w:color w:val="auto"/>
          <w:kern w:val="28"/>
          <w:sz w:val="24"/>
          <w:lang w:val="en-US" w:eastAsia="zh-CN"/>
        </w:rPr>
      </w:pPr>
      <w:r>
        <w:rPr>
          <w:rFonts w:hint="eastAsia" w:ascii="仿宋" w:hAnsi="仿宋" w:eastAsia="仿宋" w:cs="仿宋"/>
          <w:b/>
          <w:bCs/>
          <w:color w:val="auto"/>
          <w:kern w:val="28"/>
          <w:sz w:val="24"/>
          <w:lang w:val="en-US" w:eastAsia="zh-CN"/>
        </w:rPr>
        <w:t>2.</w:t>
      </w:r>
      <w:r>
        <w:rPr>
          <w:rFonts w:hint="eastAsia" w:ascii="仿宋" w:hAnsi="仿宋" w:eastAsia="仿宋" w:cs="仿宋"/>
          <w:b/>
          <w:bCs/>
          <w:color w:val="auto"/>
          <w:sz w:val="24"/>
          <w:szCs w:val="24"/>
        </w:rPr>
        <w:t>信息化建设区域检验数据平台技术要求:</w:t>
      </w:r>
    </w:p>
    <w:p w14:paraId="7AB906BD">
      <w:pPr>
        <w:pStyle w:val="11"/>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w:t>
      </w:r>
      <w:r>
        <w:rPr>
          <w:rFonts w:hint="eastAsia" w:ascii="仿宋" w:hAnsi="仿宋" w:eastAsia="仿宋" w:cs="仿宋"/>
          <w:b w:val="0"/>
          <w:bCs/>
          <w:color w:val="auto"/>
          <w:sz w:val="24"/>
          <w:szCs w:val="24"/>
          <w:lang w:val="en-US" w:eastAsia="zh-CN"/>
        </w:rPr>
        <w:t>2</w:t>
      </w:r>
      <w:r>
        <w:rPr>
          <w:rFonts w:hint="eastAsia" w:ascii="仿宋" w:hAnsi="仿宋" w:eastAsia="仿宋" w:cs="仿宋"/>
          <w:b/>
          <w:bCs/>
          <w:color w:val="auto"/>
          <w:sz w:val="24"/>
          <w:szCs w:val="24"/>
          <w:lang w:val="en-US" w:eastAsia="zh-CN"/>
        </w:rPr>
        <w:t>.</w:t>
      </w:r>
      <w:r>
        <w:rPr>
          <w:rFonts w:hint="eastAsia" w:ascii="仿宋" w:hAnsi="仿宋" w:eastAsia="仿宋" w:cs="仿宋"/>
          <w:color w:val="auto"/>
          <w:kern w:val="0"/>
          <w:sz w:val="24"/>
          <w:szCs w:val="24"/>
          <w:lang w:bidi="ar"/>
        </w:rPr>
        <w:t>1、成交供应商为区域检验中心建立信息管理系统，</w:t>
      </w:r>
      <w:r>
        <w:rPr>
          <w:rFonts w:hint="eastAsia" w:ascii="仿宋" w:hAnsi="仿宋" w:eastAsia="仿宋" w:cs="仿宋"/>
          <w:color w:val="auto"/>
          <w:sz w:val="24"/>
          <w:szCs w:val="24"/>
        </w:rPr>
        <w:t>以</w:t>
      </w:r>
      <w:r>
        <w:rPr>
          <w:rFonts w:hint="eastAsia" w:ascii="仿宋" w:hAnsi="仿宋" w:eastAsia="仿宋" w:cs="仿宋"/>
          <w:color w:val="auto"/>
          <w:sz w:val="24"/>
          <w:szCs w:val="24"/>
          <w:lang w:val="en-US" w:eastAsia="zh-CN"/>
        </w:rPr>
        <w:t>广元市中心</w:t>
      </w:r>
      <w:r>
        <w:rPr>
          <w:rFonts w:hint="eastAsia" w:ascii="仿宋" w:hAnsi="仿宋" w:eastAsia="仿宋" w:cs="仿宋"/>
          <w:color w:val="auto"/>
          <w:sz w:val="24"/>
          <w:szCs w:val="24"/>
          <w:lang w:eastAsia="zh-CN"/>
        </w:rPr>
        <w:t>医院</w:t>
      </w:r>
      <w:r>
        <w:rPr>
          <w:rFonts w:hint="eastAsia" w:ascii="仿宋" w:hAnsi="仿宋" w:eastAsia="仿宋" w:cs="仿宋"/>
          <w:color w:val="auto"/>
          <w:sz w:val="24"/>
          <w:szCs w:val="24"/>
        </w:rPr>
        <w:t>为核心，涵盖区域检验中心内</w:t>
      </w:r>
      <w:r>
        <w:rPr>
          <w:rFonts w:hint="eastAsia" w:ascii="仿宋" w:hAnsi="仿宋" w:eastAsia="仿宋" w:cs="仿宋"/>
          <w:color w:val="auto"/>
          <w:kern w:val="0"/>
          <w:sz w:val="24"/>
          <w:szCs w:val="24"/>
          <w:lang w:bidi="ar"/>
        </w:rPr>
        <w:t>属医疗机构、乡镇卫生院和社区卫生服务中心</w:t>
      </w:r>
      <w:r>
        <w:rPr>
          <w:rFonts w:hint="eastAsia" w:ascii="仿宋" w:hAnsi="仿宋" w:eastAsia="仿宋" w:cs="仿宋"/>
          <w:color w:val="auto"/>
          <w:sz w:val="24"/>
          <w:szCs w:val="24"/>
        </w:rPr>
        <w:t>的医疗服务网络，满足区域内检验质量控制、区域内检验业务承接流转、检验报告查询共享等需求，让患者信息通过网上传递，样本通过线下流转，实现区域检验中心与基层医疗机构协同开展检验业务。</w:t>
      </w:r>
    </w:p>
    <w:p w14:paraId="66EF0557">
      <w:pPr>
        <w:widowControl/>
        <w:spacing w:line="360" w:lineRule="auto"/>
        <w:ind w:firstLine="480" w:firstLineChars="200"/>
        <w:jc w:val="left"/>
        <w:rPr>
          <w:rFonts w:hint="eastAsia" w:ascii="仿宋" w:hAnsi="仿宋" w:eastAsia="仿宋" w:cs="仿宋"/>
          <w:b w:val="0"/>
          <w:bCs w:val="0"/>
          <w:color w:val="auto"/>
          <w:kern w:val="0"/>
          <w:sz w:val="24"/>
          <w:szCs w:val="24"/>
          <w:lang w:bidi="ar"/>
        </w:rPr>
      </w:pPr>
      <w:r>
        <w:rPr>
          <w:rFonts w:hint="eastAsia" w:ascii="仿宋" w:hAnsi="仿宋" w:eastAsia="仿宋" w:cs="仿宋"/>
          <w:color w:val="auto"/>
          <w:sz w:val="24"/>
          <w:szCs w:val="24"/>
          <w:lang w:val="en-US" w:eastAsia="zh-CN"/>
        </w:rPr>
        <w:t>▲2.</w:t>
      </w:r>
      <w:r>
        <w:rPr>
          <w:rFonts w:hint="eastAsia" w:ascii="仿宋" w:hAnsi="仿宋" w:eastAsia="仿宋" w:cs="仿宋"/>
          <w:color w:val="auto"/>
          <w:kern w:val="0"/>
          <w:sz w:val="24"/>
          <w:szCs w:val="24"/>
          <w:lang w:bidi="ar"/>
        </w:rPr>
        <w:t>2、成交供应商为区域检验中心实验室提供完善的实验室耗材管理系统、质量运行监控系统、区域检验质量控制系统以及智能审核系统与样本物流信息系统。</w:t>
      </w:r>
    </w:p>
    <w:p w14:paraId="3037F63A">
      <w:pPr>
        <w:pStyle w:val="11"/>
        <w:widowControl/>
        <w:spacing w:before="60" w:after="6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3、搭建智</w:t>
      </w:r>
      <w:r>
        <w:rPr>
          <w:rFonts w:hint="eastAsia" w:ascii="仿宋" w:hAnsi="仿宋" w:eastAsia="仿宋" w:cs="仿宋"/>
          <w:color w:val="auto"/>
          <w:sz w:val="24"/>
          <w:szCs w:val="24"/>
        </w:rPr>
        <w:t>慧区域检验中心信息共享平台，实现检验结果同步传输、网络信息共享。</w:t>
      </w:r>
    </w:p>
    <w:p w14:paraId="4C892991">
      <w:pPr>
        <w:pStyle w:val="11"/>
        <w:widowControl/>
        <w:spacing w:before="60" w:after="6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3.1、系统实现信息共享，医疗机构系统互联，检验申请流程便捷，报告实时回传，实现检验信息数据互通，促进区域检验业务协同。</w:t>
      </w:r>
    </w:p>
    <w:p w14:paraId="5755F447">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3.2、促进检验质量同质化与结果互认，区域质量控制及异常标本管理，优化检验流程。</w:t>
      </w:r>
    </w:p>
    <w:p w14:paraId="5D5F1834">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3.3、提升区域检验中心患者就医体验，可通过移动端小程序随时随地查询到报告单。</w:t>
      </w:r>
    </w:p>
    <w:p w14:paraId="36C7616B">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3.4、能力提升：数据监测精细化运营，提升管理效能；优化医疗资源配置，实现资源下沉，提升基层服务能力。</w:t>
      </w:r>
    </w:p>
    <w:p w14:paraId="6A352D72">
      <w:pPr>
        <w:pStyle w:val="11"/>
        <w:widowControl/>
        <w:spacing w:before="60" w:after="6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3.5、为区域检验中心实验室的运营管理提供了一个全面的信息展示平台，实时呈现关键统计分析数据，提升运营效率和服务质量。</w:t>
      </w:r>
    </w:p>
    <w:p w14:paraId="6F27CA4A">
      <w:pPr>
        <w:pStyle w:val="16"/>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4、搭建区域检验中心信息共享平台，实现区域数据共享，智能实时监测，管理层通过对送检量和收入趋势，做出更精准和及时的决策，应具备相关文档管理，日常表单数据管理等信息化管理功能。</w:t>
      </w:r>
    </w:p>
    <w:p w14:paraId="04BA8844">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4.1、全流程管理：涵盖从检验申请单的提交到检验报告单的生成，确保每一步操作的高效与准确。</w:t>
      </w:r>
    </w:p>
    <w:p w14:paraId="28E96035">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项目精细化管理：对医院检验项目、标本类型、医院套餐及项目对照进行系统化管理，提升检验服务的标准化水平。</w:t>
      </w:r>
    </w:p>
    <w:p w14:paraId="7C31F553">
      <w:pPr>
        <w:spacing w:before="9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面系统管理：涵盖用户角色管理、菜单配置、区域医院网络管理、岗位划分、字典维护、通知公告发布以及日志审计等，构建一个安全、有序的管理体系。该系统支持权限分级的运营策略，有效适应多层次数据管理与服务需求。</w:t>
      </w:r>
    </w:p>
    <w:p w14:paraId="3B0F911F">
      <w:pPr>
        <w:spacing w:line="360" w:lineRule="auto"/>
        <w:ind w:firstLine="480" w:firstLineChars="200"/>
        <w:outlineLvl w:val="9"/>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w:t>
      </w: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rPr>
        <w:t>、申请单录入：新增录入申请单基本信息、患者信息、标本信息（含主条码、送检项目、标本分流信息-送检目的地等）.</w:t>
      </w:r>
    </w:p>
    <w:p w14:paraId="71354A54">
      <w:pPr>
        <w:spacing w:line="360" w:lineRule="auto"/>
        <w:ind w:firstLine="480" w:firstLineChars="200"/>
        <w:outlineLvl w:val="9"/>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、申请单修改：支持申请单状态管理、申请单草稿、保存、提交，申请信息同步等。</w:t>
      </w:r>
    </w:p>
    <w:p w14:paraId="594E2F84">
      <w:pPr>
        <w:spacing w:line="360" w:lineRule="auto"/>
        <w:ind w:firstLine="480" w:firstLineChars="200"/>
        <w:outlineLvl w:val="9"/>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w:t>
      </w:r>
      <w:r>
        <w:rPr>
          <w:rFonts w:hint="eastAsia" w:ascii="仿宋" w:hAnsi="仿宋" w:eastAsia="仿宋" w:cs="仿宋"/>
          <w:b w:val="0"/>
          <w:bCs w:val="0"/>
          <w:color w:val="auto"/>
          <w:sz w:val="24"/>
          <w:szCs w:val="24"/>
          <w:lang w:val="en-US" w:eastAsia="zh-CN"/>
        </w:rPr>
        <w:t>6</w:t>
      </w:r>
      <w:r>
        <w:rPr>
          <w:rFonts w:hint="eastAsia" w:ascii="仿宋" w:hAnsi="仿宋" w:eastAsia="仿宋" w:cs="仿宋"/>
          <w:b w:val="0"/>
          <w:bCs w:val="0"/>
          <w:color w:val="auto"/>
          <w:sz w:val="24"/>
          <w:szCs w:val="24"/>
        </w:rPr>
        <w:t>、申请单查询：支持分级权限查询、支持根据医院、送检项目、条码号、时间段等信息查询，申请单列表数据授权导出。</w:t>
      </w:r>
    </w:p>
    <w:p w14:paraId="2610A42D">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、报告单信息集成：支持报告单上传等信息集成、支持报告单信息查看、报告的文件预览、报告单文件授权下载、报告单打印。</w:t>
      </w:r>
    </w:p>
    <w:p w14:paraId="47BFD49A">
      <w:pPr>
        <w:spacing w:line="360" w:lineRule="auto"/>
        <w:ind w:firstLine="480" w:firstLineChars="200"/>
        <w:outlineLvl w:val="9"/>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w:t>
      </w:r>
      <w:r>
        <w:rPr>
          <w:rFonts w:hint="eastAsia" w:ascii="仿宋" w:hAnsi="仿宋" w:eastAsia="仿宋" w:cs="仿宋"/>
          <w:b w:val="0"/>
          <w:bCs w:val="0"/>
          <w:color w:val="auto"/>
          <w:sz w:val="24"/>
          <w:szCs w:val="24"/>
          <w:lang w:val="en-US" w:eastAsia="zh-CN"/>
        </w:rPr>
        <w:t>8</w:t>
      </w:r>
      <w:r>
        <w:rPr>
          <w:rFonts w:hint="eastAsia" w:ascii="仿宋" w:hAnsi="仿宋" w:eastAsia="仿宋" w:cs="仿宋"/>
          <w:b w:val="0"/>
          <w:bCs w:val="0"/>
          <w:color w:val="auto"/>
          <w:sz w:val="24"/>
          <w:szCs w:val="24"/>
        </w:rPr>
        <w:t>、检测项目：检测项目新增、批量导入、导出、删除，检测项目编辑、查看、删除等。</w:t>
      </w:r>
    </w:p>
    <w:p w14:paraId="16B07B05">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w:t>
      </w: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、质控管理：质控查看、月报、状态、对接、导入、危机值查询与统计、不合格标本查询与统计。</w:t>
      </w:r>
    </w:p>
    <w:p w14:paraId="5D3BB802">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4.1</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、项目管理：管理区域检验中心区域内的送检项目。</w:t>
      </w:r>
    </w:p>
    <w:p w14:paraId="179F23C6">
      <w:pPr>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4.1</w:t>
      </w: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、医院套餐：医院套餐新增、批量导入、导出、删除，检测项目编辑、查看、删除等。</w:t>
      </w:r>
    </w:p>
    <w:p w14:paraId="3791BAE9">
      <w:pPr>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4.1</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、项目对照：区域检验中心实验室与乡镇项目对照新增、批量上传、导出、删除，对照查看、编辑、删除等。</w:t>
      </w:r>
    </w:p>
    <w:p w14:paraId="6AB57EE0">
      <w:pPr>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4.1</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、用户管理系统管理：显示所有用户的列表；允许管理员创建新用户，并设置其基本信息（如用户名、密码、角色等）、修改用户信息。</w:t>
      </w:r>
    </w:p>
    <w:p w14:paraId="1CD77D8F">
      <w:pPr>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4.1</w:t>
      </w: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sz w:val="24"/>
          <w:szCs w:val="24"/>
        </w:rPr>
        <w:t>、区域检验中心内医院管理：显示所有部门的列表；支持管理员新增、修改、删除新部门、支持区域检验中心实验室+乡镇社区医院两级数据权限管控。</w:t>
      </w:r>
    </w:p>
    <w:p w14:paraId="1AD79E51">
      <w:pPr>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4.1</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、日志管理：显示系统产生的所有日志记录；提供日志查询功能，允许管理员按时间、操作类型等条件筛选日志。</w:t>
      </w:r>
    </w:p>
    <w:p w14:paraId="6D600007">
      <w:pPr>
        <w:pStyle w:val="16"/>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5、成交供应商为区域检验中心提供智慧大屏与数据看板，实现数据的直观展示与深入分析，支持可视化决策，助力快速洞察区域检验态势。</w:t>
      </w:r>
    </w:p>
    <w:p w14:paraId="5F612300">
      <w:pPr>
        <w:pStyle w:val="16"/>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5.1、智慧大屏显示内容：区域检验中心数据直观分析、内容及时呈现。</w:t>
      </w:r>
    </w:p>
    <w:p w14:paraId="15D3B280">
      <w:pPr>
        <w:pStyle w:val="16"/>
        <w:snapToGrid w:val="0"/>
        <w:spacing w:line="360" w:lineRule="auto"/>
        <w:ind w:firstLine="480" w:firstLineChars="200"/>
        <w:rPr>
          <w:rFonts w:hint="eastAsia" w:ascii="仿宋" w:hAnsi="仿宋" w:eastAsia="仿宋" w:cs="仿宋"/>
          <w:color w:val="auto"/>
          <w:sz w:val="24"/>
          <w:szCs w:val="24"/>
          <w:lang w:bidi="ar"/>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5.2、提供运营看板显示内容：申请单、报告单数量、预计收入、标本全流程状态分布、每日各节点标本数、申请单、报告单数量分析、送检情况分析，提供证明材料。</w:t>
      </w:r>
    </w:p>
    <w:p w14:paraId="612101CD">
      <w:pPr>
        <w:pStyle w:val="11"/>
        <w:widowControl/>
        <w:spacing w:before="60" w:after="6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6、成交供应商所提供的智慧系统定位为满足区域检验中心实验室的运营管理系统，可以通过 PC 台式机、PC 笔记本、平板电脑等多种设备接入。</w:t>
      </w:r>
    </w:p>
    <w:p w14:paraId="4C6462FA">
      <w:pPr>
        <w:spacing w:before="9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7、成交供应商提供统一开放式互联网接口，可实现与第三方系统进行数据交互，实现数据的互联互通，提供承诺函。</w:t>
      </w:r>
    </w:p>
    <w:p w14:paraId="4EA1F736">
      <w:pPr>
        <w:pStyle w:val="16"/>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8、运行环境方面，依托Linux操作系统，支持Docker容器化技术以及Kubernetes（k8s）集群管理方案，构建一个高度可伸缩、易于维护且资源利用率高的部署环境。提升了应用开发的灵活性与效率，增强系统的可靠性与扩展能力，为业务的快速发展提供技术支撑，提供证明材料。</w:t>
      </w:r>
    </w:p>
    <w:p w14:paraId="29663F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1"/>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pacing w:val="-1"/>
          <w:sz w:val="24"/>
          <w:szCs w:val="24"/>
        </w:rPr>
        <w:t>9、如提供数据交互平台，需严格按照国家信息系统安全三级等保要求搭建，并通过了三级等保认证。</w:t>
      </w:r>
    </w:p>
    <w:p w14:paraId="76DF5D8B">
      <w:pPr>
        <w:keepNext w:val="0"/>
        <w:keepLines w:val="0"/>
        <w:pageBreakBefore w:val="0"/>
        <w:widowControl w:val="0"/>
        <w:kinsoku/>
        <w:wordWrap/>
        <w:overflowPunct/>
        <w:topLinePunct w:val="0"/>
        <w:autoSpaceDE/>
        <w:autoSpaceDN/>
        <w:bidi w:val="0"/>
        <w:adjustRightInd/>
        <w:snapToGrid/>
        <w:spacing w:line="360" w:lineRule="auto"/>
        <w:ind w:firstLine="476" w:firstLineChars="200"/>
        <w:textAlignment w:val="auto"/>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lang w:val="en-US" w:eastAsia="zh-CN"/>
        </w:rPr>
        <w:t>2.</w:t>
      </w:r>
      <w:r>
        <w:rPr>
          <w:rFonts w:hint="eastAsia" w:ascii="仿宋" w:hAnsi="仿宋" w:eastAsia="仿宋" w:cs="仿宋"/>
          <w:color w:val="auto"/>
          <w:spacing w:val="-1"/>
          <w:sz w:val="24"/>
          <w:szCs w:val="24"/>
        </w:rPr>
        <w:t>10、接口安全：访问接口需每日提供身份授权信息获取当天的访问密钥、数据交互采用SSL/TLS加密传输协议，确保数据在传输过程中不被窃取或篡改。</w:t>
      </w:r>
    </w:p>
    <w:p w14:paraId="5419DD1B">
      <w:pPr>
        <w:keepNext w:val="0"/>
        <w:keepLines w:val="0"/>
        <w:pageBreakBefore w:val="0"/>
        <w:widowControl w:val="0"/>
        <w:kinsoku/>
        <w:wordWrap/>
        <w:overflowPunct/>
        <w:topLinePunct w:val="0"/>
        <w:autoSpaceDE/>
        <w:autoSpaceDN/>
        <w:bidi w:val="0"/>
        <w:adjustRightInd/>
        <w:snapToGrid/>
        <w:spacing w:line="360" w:lineRule="auto"/>
        <w:ind w:firstLine="476" w:firstLineChars="200"/>
        <w:textAlignment w:val="auto"/>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lang w:val="en-US" w:eastAsia="zh-CN"/>
        </w:rPr>
        <w:t>2.</w:t>
      </w:r>
      <w:r>
        <w:rPr>
          <w:rFonts w:hint="eastAsia" w:ascii="仿宋" w:hAnsi="仿宋" w:eastAsia="仿宋" w:cs="仿宋"/>
          <w:color w:val="auto"/>
          <w:spacing w:val="-1"/>
          <w:sz w:val="24"/>
          <w:szCs w:val="24"/>
        </w:rPr>
        <w:t>11、数据存储：需符合国家标准加密算法，为存储的敏感数据提供强有力的安全保障。</w:t>
      </w:r>
    </w:p>
    <w:p w14:paraId="26DC925E">
      <w:pPr>
        <w:keepNext w:val="0"/>
        <w:keepLines w:val="0"/>
        <w:pageBreakBefore w:val="0"/>
        <w:widowControl w:val="0"/>
        <w:kinsoku/>
        <w:wordWrap/>
        <w:overflowPunct/>
        <w:topLinePunct w:val="0"/>
        <w:autoSpaceDE/>
        <w:autoSpaceDN/>
        <w:bidi w:val="0"/>
        <w:adjustRightInd/>
        <w:snapToGrid/>
        <w:spacing w:line="360" w:lineRule="auto"/>
        <w:ind w:firstLine="476" w:firstLineChars="200"/>
        <w:textAlignment w:val="auto"/>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lang w:val="en-US" w:eastAsia="zh-CN"/>
        </w:rPr>
        <w:t>2.</w:t>
      </w:r>
      <w:r>
        <w:rPr>
          <w:rFonts w:hint="eastAsia" w:ascii="仿宋" w:hAnsi="仿宋" w:eastAsia="仿宋" w:cs="仿宋"/>
          <w:color w:val="auto"/>
          <w:spacing w:val="-1"/>
          <w:sz w:val="24"/>
          <w:szCs w:val="24"/>
        </w:rPr>
        <w:t>12、数据管理：</w:t>
      </w:r>
      <w:r>
        <w:rPr>
          <w:rFonts w:hint="eastAsia" w:ascii="仿宋" w:hAnsi="仿宋" w:eastAsia="仿宋" w:cs="仿宋"/>
          <w:color w:val="auto"/>
          <w:spacing w:val="-1"/>
          <w:sz w:val="24"/>
          <w:szCs w:val="24"/>
          <w:lang w:eastAsia="zh-CN"/>
        </w:rPr>
        <w:t>乙方</w:t>
      </w:r>
      <w:r>
        <w:rPr>
          <w:rFonts w:hint="eastAsia" w:ascii="仿宋" w:hAnsi="仿宋" w:eastAsia="仿宋" w:cs="仿宋"/>
          <w:color w:val="auto"/>
          <w:spacing w:val="-1"/>
          <w:sz w:val="24"/>
          <w:szCs w:val="24"/>
        </w:rPr>
        <w:t>需严格遵循ISO/IEC 27001国际标准的要求实施管理，并已通过该国际标准的认证，确保所采取的数据保护与隐私保护措施符合全球认可的最佳实践规范。</w:t>
      </w:r>
    </w:p>
    <w:p w14:paraId="453EA865">
      <w:pPr>
        <w:keepNext w:val="0"/>
        <w:keepLines w:val="0"/>
        <w:pageBreakBefore w:val="0"/>
        <w:widowControl w:val="0"/>
        <w:kinsoku/>
        <w:wordWrap/>
        <w:overflowPunct/>
        <w:topLinePunct w:val="0"/>
        <w:autoSpaceDE/>
        <w:autoSpaceDN/>
        <w:bidi w:val="0"/>
        <w:adjustRightInd/>
        <w:snapToGrid/>
        <w:spacing w:line="360" w:lineRule="auto"/>
        <w:ind w:firstLine="476" w:firstLineChars="200"/>
        <w:textAlignment w:val="auto"/>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lang w:val="en-US" w:eastAsia="zh-CN"/>
        </w:rPr>
        <w:t>2.</w:t>
      </w:r>
      <w:r>
        <w:rPr>
          <w:rFonts w:hint="eastAsia" w:ascii="仿宋" w:hAnsi="仿宋" w:eastAsia="仿宋" w:cs="仿宋"/>
          <w:color w:val="auto"/>
          <w:spacing w:val="-1"/>
          <w:sz w:val="24"/>
          <w:szCs w:val="24"/>
        </w:rPr>
        <w:t>1</w:t>
      </w:r>
      <w:r>
        <w:rPr>
          <w:rFonts w:hint="eastAsia" w:ascii="仿宋" w:hAnsi="仿宋" w:eastAsia="仿宋" w:cs="仿宋"/>
          <w:color w:val="auto"/>
          <w:spacing w:val="-1"/>
          <w:sz w:val="24"/>
          <w:szCs w:val="24"/>
          <w:lang w:val="en-US" w:eastAsia="zh-CN"/>
        </w:rPr>
        <w:t>3</w:t>
      </w:r>
      <w:r>
        <w:rPr>
          <w:rFonts w:hint="eastAsia" w:ascii="仿宋" w:hAnsi="仿宋" w:eastAsia="仿宋" w:cs="仿宋"/>
          <w:color w:val="auto"/>
          <w:spacing w:val="-1"/>
          <w:sz w:val="24"/>
          <w:szCs w:val="24"/>
        </w:rPr>
        <w:t>、配备相应的日志系统，完整记录所有人员在平台上的操作行为（包括后台服务器操作）。</w:t>
      </w:r>
    </w:p>
    <w:p w14:paraId="56E1305A">
      <w:pPr>
        <w:keepNext w:val="0"/>
        <w:keepLines w:val="0"/>
        <w:pageBreakBefore w:val="0"/>
        <w:widowControl w:val="0"/>
        <w:kinsoku/>
        <w:wordWrap/>
        <w:overflowPunct/>
        <w:topLinePunct w:val="0"/>
        <w:autoSpaceDE/>
        <w:autoSpaceDN/>
        <w:bidi w:val="0"/>
        <w:adjustRightInd/>
        <w:snapToGrid/>
        <w:spacing w:line="360" w:lineRule="auto"/>
        <w:ind w:firstLine="476" w:firstLineChars="200"/>
        <w:textAlignment w:val="auto"/>
        <w:rPr>
          <w:rFonts w:hint="eastAsia" w:ascii="仿宋" w:hAnsi="仿宋" w:eastAsia="仿宋" w:cs="仿宋"/>
          <w:color w:val="4874CB" w:themeColor="accent1"/>
          <w:kern w:val="28"/>
          <w:sz w:val="24"/>
          <w14:textFill>
            <w14:solidFill>
              <w14:schemeClr w14:val="accent1"/>
            </w14:solidFill>
          </w14:textFill>
        </w:rPr>
      </w:pPr>
      <w:r>
        <w:rPr>
          <w:rFonts w:hint="eastAsia" w:ascii="仿宋" w:hAnsi="仿宋" w:eastAsia="仿宋" w:cs="仿宋"/>
          <w:color w:val="auto"/>
          <w:spacing w:val="-1"/>
          <w:sz w:val="24"/>
          <w:szCs w:val="24"/>
          <w:lang w:val="en-US" w:eastAsia="zh-CN"/>
        </w:rPr>
        <w:t>2.</w:t>
      </w:r>
      <w:r>
        <w:rPr>
          <w:rFonts w:hint="eastAsia" w:ascii="仿宋" w:hAnsi="仿宋" w:eastAsia="仿宋" w:cs="仿宋"/>
          <w:color w:val="auto"/>
          <w:spacing w:val="-1"/>
          <w:sz w:val="24"/>
          <w:szCs w:val="24"/>
        </w:rPr>
        <w:t>1</w:t>
      </w:r>
      <w:r>
        <w:rPr>
          <w:rFonts w:hint="eastAsia" w:ascii="仿宋" w:hAnsi="仿宋" w:eastAsia="仿宋" w:cs="仿宋"/>
          <w:color w:val="auto"/>
          <w:spacing w:val="-1"/>
          <w:sz w:val="24"/>
          <w:szCs w:val="24"/>
          <w:lang w:val="en-US" w:eastAsia="zh-CN"/>
        </w:rPr>
        <w:t>4</w:t>
      </w:r>
      <w:r>
        <w:rPr>
          <w:rFonts w:hint="eastAsia" w:ascii="仿宋" w:hAnsi="仿宋" w:eastAsia="仿宋" w:cs="仿宋"/>
          <w:color w:val="auto"/>
          <w:spacing w:val="-1"/>
          <w:sz w:val="24"/>
          <w:szCs w:val="24"/>
        </w:rPr>
        <w:t>、如需对后台数据进行操作，必须持有医院盖章的授权书。管理员需编写执行代码，提交数据库管理员实施代码审核，审核通过后方可执行相关操作。</w:t>
      </w:r>
    </w:p>
    <w:p w14:paraId="5FE76BDF">
      <w:pPr>
        <w:spacing w:line="440" w:lineRule="exact"/>
        <w:ind w:firstLine="482" w:firstLineChars="200"/>
        <w:outlineLvl w:val="1"/>
        <w:rPr>
          <w:rFonts w:hint="eastAsia" w:ascii="仿宋" w:hAnsi="仿宋" w:eastAsia="仿宋" w:cs="仿宋"/>
          <w:color w:val="4874CB" w:themeColor="accent1"/>
          <w:kern w:val="28"/>
          <w:sz w:val="24"/>
          <w:lang w:val="en-US" w:eastAsia="zh-CN"/>
          <w14:textFill>
            <w14:solidFill>
              <w14:schemeClr w14:val="accent1"/>
            </w14:solidFill>
          </w14:textFill>
        </w:rPr>
      </w:pPr>
      <w:r>
        <w:rPr>
          <w:rFonts w:hint="eastAsia" w:ascii="仿宋" w:hAnsi="仿宋" w:eastAsia="仿宋" w:cs="仿宋"/>
          <w:b/>
          <w:bCs/>
          <w:color w:val="auto"/>
          <w:sz w:val="24"/>
          <w:szCs w:val="24"/>
          <w:lang w:val="en-US" w:eastAsia="zh-CN"/>
        </w:rPr>
        <w:t>3.</w:t>
      </w:r>
      <w:r>
        <w:rPr>
          <w:rFonts w:hint="eastAsia" w:ascii="仿宋" w:hAnsi="仿宋" w:eastAsia="仿宋" w:cs="仿宋"/>
          <w:b/>
          <w:bCs/>
          <w:color w:val="auto"/>
          <w:sz w:val="24"/>
          <w:szCs w:val="24"/>
        </w:rPr>
        <w:t>区域检验中心物流系统要求：</w:t>
      </w:r>
    </w:p>
    <w:p w14:paraId="5EA67883">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3.</w:t>
      </w:r>
      <w:r>
        <w:rPr>
          <w:rFonts w:hint="eastAsia" w:ascii="仿宋" w:hAnsi="仿宋" w:eastAsia="仿宋" w:cs="仿宋"/>
          <w:color w:val="auto"/>
          <w:kern w:val="0"/>
          <w:sz w:val="24"/>
          <w:szCs w:val="24"/>
          <w:lang w:bidi="ar"/>
        </w:rPr>
        <w:t>1、成交供应商为</w:t>
      </w:r>
      <w:r>
        <w:rPr>
          <w:rFonts w:hint="eastAsia" w:ascii="仿宋" w:hAnsi="仿宋" w:eastAsia="仿宋" w:cs="仿宋"/>
          <w:color w:val="auto"/>
          <w:kern w:val="0"/>
          <w:sz w:val="24"/>
          <w:szCs w:val="24"/>
          <w:lang w:val="en-US" w:eastAsia="zh-CN" w:bidi="ar"/>
        </w:rPr>
        <w:t>广元市中心医院</w:t>
      </w:r>
      <w:r>
        <w:rPr>
          <w:rFonts w:hint="eastAsia" w:ascii="仿宋" w:hAnsi="仿宋" w:eastAsia="仿宋" w:cs="仿宋"/>
          <w:color w:val="auto"/>
          <w:kern w:val="0"/>
          <w:sz w:val="24"/>
          <w:szCs w:val="24"/>
          <w:lang w:bidi="ar"/>
        </w:rPr>
        <w:t>区域检验中心建立专业的、符合生物安全要求的冷链物流运输体系，保障区域内各医疗机构标本、物流转运等服务，实现标本采集、核收、转运与安全、绿道全流程多环节规范管理。</w:t>
      </w:r>
    </w:p>
    <w:p w14:paraId="20C20D97">
      <w:pPr>
        <w:widowControl/>
        <w:spacing w:line="360" w:lineRule="auto"/>
        <w:jc w:val="left"/>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2、成交供应商为区域检验中心提供</w:t>
      </w:r>
      <w:r>
        <w:rPr>
          <w:rFonts w:hint="eastAsia" w:ascii="仿宋" w:hAnsi="仿宋" w:eastAsia="仿宋" w:cs="仿宋"/>
          <w:color w:val="auto"/>
          <w:sz w:val="24"/>
          <w:szCs w:val="24"/>
        </w:rPr>
        <w:t>物流互联服务，区域标本运送全流程，高效统筹标本安全保质送检。</w:t>
      </w:r>
    </w:p>
    <w:p w14:paraId="6F2AA01D">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kern w:val="0"/>
          <w:sz w:val="24"/>
          <w:szCs w:val="24"/>
          <w:lang w:bidi="ar"/>
        </w:rPr>
        <w:t>3、</w:t>
      </w:r>
      <w:r>
        <w:rPr>
          <w:rFonts w:hint="eastAsia" w:ascii="仿宋" w:hAnsi="仿宋" w:eastAsia="仿宋" w:cs="仿宋"/>
          <w:color w:val="auto"/>
          <w:kern w:val="0"/>
          <w:sz w:val="24"/>
          <w:szCs w:val="24"/>
          <w:lang w:bidi="ar"/>
        </w:rPr>
        <w:t>样本接收时间：按照医城市医疗集团区域检验中心要求，对所有医院提供周一到周日样本接收服务。</w:t>
      </w:r>
    </w:p>
    <w:p w14:paraId="1C273A72">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4、成交供应商提供经过系统培训和严格考核并通过的专业配送人员，负责采购人涵盖的样本接收及标本前处理工作。</w:t>
      </w:r>
    </w:p>
    <w:p w14:paraId="6AC6BC6C">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5、运输资源配置</w:t>
      </w:r>
    </w:p>
    <w:p w14:paraId="2C083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5.1、</w:t>
      </w:r>
      <w:r>
        <w:rPr>
          <w:rFonts w:hint="eastAsia" w:ascii="仿宋" w:hAnsi="仿宋" w:eastAsia="仿宋" w:cs="仿宋"/>
          <w:color w:val="auto"/>
          <w:kern w:val="0"/>
          <w:sz w:val="24"/>
          <w:szCs w:val="24"/>
          <w:lang w:bidi="ar"/>
        </w:rPr>
        <w:t>成交供应商</w:t>
      </w:r>
      <w:r>
        <w:rPr>
          <w:rFonts w:hint="eastAsia" w:ascii="仿宋" w:hAnsi="仿宋" w:eastAsia="仿宋" w:cs="仿宋"/>
          <w:color w:val="auto"/>
          <w:spacing w:val="-1"/>
          <w:sz w:val="24"/>
          <w:szCs w:val="24"/>
        </w:rPr>
        <w:t>配备足够数量的样本转运车</w:t>
      </w:r>
      <w:r>
        <w:rPr>
          <w:rFonts w:hint="eastAsia" w:ascii="仿宋" w:hAnsi="仿宋" w:eastAsia="仿宋" w:cs="仿宋"/>
          <w:color w:val="auto"/>
          <w:spacing w:val="-1"/>
          <w:sz w:val="24"/>
          <w:szCs w:val="24"/>
          <w:lang w:val="en-US" w:eastAsia="zh-CN"/>
        </w:rPr>
        <w:t>及全职驾驶人员</w:t>
      </w:r>
      <w:r>
        <w:rPr>
          <w:rFonts w:hint="eastAsia" w:ascii="仿宋" w:hAnsi="仿宋" w:eastAsia="仿宋" w:cs="仿宋"/>
          <w:color w:val="auto"/>
          <w:spacing w:val="-1"/>
          <w:sz w:val="24"/>
          <w:szCs w:val="24"/>
        </w:rPr>
        <w:t>，确保在每天13:00前完成区域内所有样本收集和转运</w:t>
      </w:r>
      <w:r>
        <w:rPr>
          <w:rFonts w:hint="eastAsia" w:ascii="仿宋" w:hAnsi="仿宋" w:eastAsia="仿宋" w:cs="仿宋"/>
          <w:color w:val="auto"/>
          <w:spacing w:val="-1"/>
          <w:sz w:val="24"/>
          <w:szCs w:val="24"/>
          <w:lang w:eastAsia="zh-CN"/>
        </w:rPr>
        <w:t>，</w:t>
      </w:r>
      <w:r>
        <w:rPr>
          <w:rFonts w:hint="eastAsia" w:ascii="仿宋" w:hAnsi="仿宋" w:eastAsia="仿宋" w:cs="仿宋"/>
          <w:color w:val="auto"/>
          <w:spacing w:val="-1"/>
          <w:sz w:val="24"/>
          <w:szCs w:val="24"/>
          <w:lang w:val="en-US" w:eastAsia="zh-CN"/>
        </w:rPr>
        <w:t>如有特殊原因导致转运延迟，乙方需第一时间告知甲方原因及标本到达时间</w:t>
      </w:r>
      <w:r>
        <w:rPr>
          <w:rFonts w:hint="eastAsia" w:ascii="仿宋" w:hAnsi="仿宋" w:eastAsia="仿宋" w:cs="仿宋"/>
          <w:color w:val="auto"/>
          <w:spacing w:val="-1"/>
          <w:sz w:val="24"/>
          <w:szCs w:val="24"/>
        </w:rPr>
        <w:t>。</w:t>
      </w:r>
    </w:p>
    <w:p w14:paraId="58721A4C">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5.2、成交供应商配备专业的温控样本接收箱，每个员工必须按照 SOP 要求确保样本分析前的质量。</w:t>
      </w:r>
    </w:p>
    <w:p w14:paraId="05444F95">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kern w:val="0"/>
          <w:sz w:val="24"/>
          <w:szCs w:val="24"/>
          <w:lang w:bidi="ar"/>
        </w:rPr>
        <w:t>5.3</w:t>
      </w:r>
      <w:r>
        <w:rPr>
          <w:rFonts w:hint="eastAsia" w:ascii="仿宋" w:hAnsi="仿宋" w:eastAsia="仿宋" w:cs="仿宋"/>
          <w:color w:val="auto"/>
          <w:kern w:val="0"/>
          <w:sz w:val="24"/>
          <w:szCs w:val="24"/>
          <w:lang w:bidi="ar"/>
        </w:rPr>
        <w:t>、标本转运：按标本保存要求进行符合生物安全的冷链运输，保证标本的可靠性和有效性。</w:t>
      </w:r>
    </w:p>
    <w:p w14:paraId="6B6137FE">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5.4、运输器具及人员消毒：运输用标本箱、运输车辆及人员按国家规定相关要求进行消毒处理。</w:t>
      </w:r>
    </w:p>
    <w:p w14:paraId="3DE777E0">
      <w:pPr>
        <w:widowControl/>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6、标本绿色通道：当出现紧急标本需要送检时，应启动物流绿色通道，完成标本的转运。</w:t>
      </w:r>
    </w:p>
    <w:p w14:paraId="385E19C1">
      <w:pPr>
        <w:widowControl/>
        <w:spacing w:line="360" w:lineRule="auto"/>
        <w:ind w:firstLine="480" w:firstLineChars="200"/>
        <w:jc w:val="left"/>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val="en-US" w:eastAsia="zh-CN" w:bidi="ar"/>
        </w:rPr>
        <w:t>3.</w:t>
      </w:r>
      <w:r>
        <w:rPr>
          <w:rFonts w:hint="eastAsia" w:ascii="仿宋" w:hAnsi="仿宋" w:eastAsia="仿宋" w:cs="仿宋"/>
          <w:color w:val="auto"/>
          <w:kern w:val="0"/>
          <w:sz w:val="24"/>
          <w:szCs w:val="24"/>
          <w:lang w:bidi="ar"/>
        </w:rPr>
        <w:t>7、物流应急方案：成交供应商应建立完善的应急预案机制，针对</w:t>
      </w:r>
      <w:r>
        <w:rPr>
          <w:rFonts w:hint="eastAsia" w:ascii="仿宋" w:hAnsi="仿宋" w:eastAsia="仿宋" w:cs="仿宋"/>
          <w:color w:val="auto"/>
          <w:sz w:val="24"/>
          <w:szCs w:val="24"/>
        </w:rPr>
        <w:t>突发公共卫生事件等各类应急处置预案</w:t>
      </w:r>
      <w:r>
        <w:rPr>
          <w:rFonts w:hint="eastAsia" w:ascii="仿宋" w:hAnsi="仿宋" w:eastAsia="仿宋" w:cs="仿宋"/>
          <w:color w:val="auto"/>
          <w:kern w:val="0"/>
          <w:sz w:val="24"/>
          <w:szCs w:val="24"/>
          <w:lang w:bidi="ar"/>
        </w:rPr>
        <w:t>，以实现强有力的应急救援保障能力。</w:t>
      </w:r>
    </w:p>
    <w:p w14:paraId="1B02CCE7">
      <w:pPr>
        <w:widowControl/>
        <w:spacing w:line="360" w:lineRule="auto"/>
        <w:ind w:firstLine="480" w:firstLineChars="200"/>
        <w:jc w:val="left"/>
        <w:rPr>
          <w:rFonts w:hint="eastAsia" w:ascii="仿宋" w:hAnsi="仿宋" w:eastAsia="仿宋" w:cs="仿宋"/>
          <w:b w:val="0"/>
          <w:bCs w:val="0"/>
          <w:color w:val="auto"/>
          <w:kern w:val="0"/>
          <w:sz w:val="24"/>
          <w:szCs w:val="24"/>
          <w:lang w:bidi="ar"/>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8、样本物流车在完成各成员单位的耗材、样本等物流服务同时，在正常转</w:t>
      </w:r>
      <w:r>
        <w:rPr>
          <w:rFonts w:hint="eastAsia" w:ascii="仿宋" w:hAnsi="仿宋" w:eastAsia="仿宋" w:cs="仿宋"/>
          <w:b w:val="0"/>
          <w:bCs w:val="0"/>
          <w:color w:val="auto"/>
          <w:sz w:val="24"/>
          <w:szCs w:val="24"/>
        </w:rPr>
        <w:t>运路线和时间内，应按照采购方要求转运病理标本、检查报告单等。</w:t>
      </w:r>
    </w:p>
    <w:p w14:paraId="2628742F">
      <w:pPr>
        <w:pStyle w:val="16"/>
        <w:snapToGrid w:val="0"/>
        <w:spacing w:line="360" w:lineRule="auto"/>
        <w:ind w:firstLine="480" w:firstLineChars="200"/>
        <w:rPr>
          <w:rFonts w:hint="eastAsia" w:ascii="仿宋" w:hAnsi="仿宋" w:eastAsia="仿宋" w:cs="仿宋"/>
          <w:b w:val="0"/>
          <w:bCs w:val="0"/>
          <w:color w:val="auto"/>
          <w:sz w:val="24"/>
          <w:szCs w:val="24"/>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9、供应商物流车运行期间，所有安全（包括但不限于人身安全和财产安全）均由供应商负责。</w:t>
      </w:r>
    </w:p>
    <w:p w14:paraId="75B14CEC">
      <w:pPr>
        <w:pStyle w:val="16"/>
        <w:snapToGrid w:val="0"/>
        <w:spacing w:line="360" w:lineRule="auto"/>
        <w:ind w:firstLine="480" w:firstLineChars="200"/>
        <w:rPr>
          <w:rFonts w:hint="eastAsia" w:ascii="仿宋" w:hAnsi="仿宋" w:eastAsia="仿宋" w:cs="仿宋"/>
          <w:color w:val="4874CB" w:themeColor="accent1"/>
          <w:kern w:val="28"/>
          <w:sz w:val="24"/>
          <w14:textFill>
            <w14:solidFill>
              <w14:schemeClr w14:val="accent1"/>
            </w14:solidFill>
          </w14:textFill>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10、</w:t>
      </w:r>
      <w:r>
        <w:rPr>
          <w:rFonts w:hint="eastAsia" w:ascii="仿宋" w:hAnsi="仿宋" w:eastAsia="仿宋" w:cs="仿宋"/>
          <w:color w:val="auto"/>
          <w:sz w:val="24"/>
          <w:szCs w:val="24"/>
        </w:rPr>
        <w:t>样本转运过程中出现的样本遗失、破损、污染、漏收等问题，所造成的不良后果，由供应商负责。</w:t>
      </w:r>
    </w:p>
    <w:p w14:paraId="3E06F44E">
      <w:pPr>
        <w:numPr>
          <w:ilvl w:val="0"/>
          <w:numId w:val="0"/>
        </w:numPr>
        <w:spacing w:line="440" w:lineRule="exact"/>
        <w:ind w:firstLine="482" w:firstLineChars="200"/>
        <w:outlineLvl w:val="1"/>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4.</w:t>
      </w:r>
      <w:r>
        <w:rPr>
          <w:rFonts w:hint="eastAsia" w:ascii="仿宋" w:hAnsi="仿宋" w:eastAsia="仿宋" w:cs="仿宋"/>
          <w:b/>
          <w:bCs/>
          <w:color w:val="auto"/>
          <w:sz w:val="24"/>
          <w:szCs w:val="24"/>
        </w:rPr>
        <w:t>区域检验中心检测能力</w:t>
      </w:r>
      <w:r>
        <w:rPr>
          <w:rFonts w:hint="eastAsia" w:ascii="仿宋" w:hAnsi="仿宋" w:eastAsia="仿宋" w:cs="仿宋"/>
          <w:b/>
          <w:bCs/>
          <w:color w:val="auto"/>
          <w:sz w:val="24"/>
          <w:szCs w:val="24"/>
          <w:lang w:val="en-US" w:eastAsia="zh-CN"/>
        </w:rPr>
        <w:t>应急</w:t>
      </w:r>
      <w:r>
        <w:rPr>
          <w:rFonts w:hint="eastAsia" w:ascii="仿宋" w:hAnsi="仿宋" w:eastAsia="仿宋" w:cs="仿宋"/>
          <w:b/>
          <w:bCs/>
          <w:color w:val="auto"/>
          <w:sz w:val="24"/>
          <w:szCs w:val="24"/>
        </w:rPr>
        <w:t>补充服务要求：</w:t>
      </w:r>
    </w:p>
    <w:p w14:paraId="24121C87">
      <w:pPr>
        <w:numPr>
          <w:ilvl w:val="0"/>
          <w:numId w:val="0"/>
        </w:numPr>
        <w:spacing w:line="360" w:lineRule="auto"/>
        <w:ind w:firstLine="480" w:firstLineChars="200"/>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w:t>
      </w:r>
      <w:r>
        <w:rPr>
          <w:rFonts w:hint="eastAsia" w:ascii="仿宋" w:hAnsi="仿宋" w:eastAsia="仿宋" w:cs="仿宋"/>
          <w:b w:val="0"/>
          <w:bCs w:val="0"/>
          <w:color w:val="auto"/>
          <w:sz w:val="24"/>
          <w:szCs w:val="24"/>
          <w:lang w:val="en-US" w:eastAsia="zh-CN"/>
        </w:rPr>
        <w:t>4.1、成交供应商应具备</w:t>
      </w:r>
      <w:r>
        <w:rPr>
          <w:rFonts w:hint="eastAsia" w:ascii="仿宋" w:hAnsi="仿宋" w:eastAsia="仿宋" w:cs="仿宋"/>
          <w:color w:val="auto"/>
          <w:sz w:val="24"/>
          <w:szCs w:val="24"/>
        </w:rPr>
        <w:t>为区域检验中心提供检测能力补充服务</w:t>
      </w:r>
      <w:r>
        <w:rPr>
          <w:rFonts w:hint="eastAsia" w:ascii="仿宋" w:hAnsi="仿宋" w:eastAsia="仿宋" w:cs="仿宋"/>
          <w:color w:val="auto"/>
          <w:sz w:val="24"/>
          <w:szCs w:val="24"/>
          <w:lang w:val="en-US" w:eastAsia="zh-CN"/>
        </w:rPr>
        <w:t>的能力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如出现紧急情况导致</w:t>
      </w:r>
      <w:r>
        <w:rPr>
          <w:rFonts w:hint="eastAsia" w:ascii="仿宋" w:hAnsi="仿宋" w:eastAsia="仿宋" w:cs="仿宋"/>
          <w:color w:val="auto"/>
          <w:sz w:val="24"/>
          <w:szCs w:val="24"/>
        </w:rPr>
        <w:t>区域内无法</w:t>
      </w:r>
      <w:r>
        <w:rPr>
          <w:rFonts w:hint="eastAsia" w:ascii="仿宋" w:hAnsi="仿宋" w:eastAsia="仿宋" w:cs="仿宋"/>
          <w:color w:val="auto"/>
          <w:sz w:val="24"/>
          <w:szCs w:val="24"/>
          <w:lang w:val="en-US" w:eastAsia="zh-CN"/>
        </w:rPr>
        <w:t>在</w:t>
      </w:r>
      <w:r>
        <w:rPr>
          <w:rFonts w:hint="eastAsia" w:ascii="仿宋" w:hAnsi="仿宋" w:eastAsia="仿宋" w:cs="仿宋"/>
          <w:color w:val="auto"/>
          <w:sz w:val="24"/>
          <w:szCs w:val="24"/>
        </w:rPr>
        <w:t>本地检测</w:t>
      </w:r>
      <w:r>
        <w:rPr>
          <w:rFonts w:hint="eastAsia" w:ascii="仿宋" w:hAnsi="仿宋" w:eastAsia="仿宋" w:cs="仿宋"/>
          <w:color w:val="auto"/>
          <w:sz w:val="24"/>
          <w:szCs w:val="24"/>
          <w:lang w:val="en-US" w:eastAsia="zh-CN"/>
        </w:rPr>
        <w:t>的</w:t>
      </w:r>
      <w:r>
        <w:rPr>
          <w:rFonts w:hint="eastAsia" w:ascii="仿宋" w:hAnsi="仿宋" w:eastAsia="仿宋" w:cs="仿宋"/>
          <w:color w:val="auto"/>
          <w:sz w:val="24"/>
          <w:szCs w:val="24"/>
        </w:rPr>
        <w:t>标本</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应当第一时间协助提供</w:t>
      </w:r>
      <w:r>
        <w:rPr>
          <w:rFonts w:hint="eastAsia" w:ascii="仿宋" w:hAnsi="仿宋" w:eastAsia="仿宋" w:cs="仿宋"/>
          <w:color w:val="auto"/>
          <w:sz w:val="24"/>
          <w:szCs w:val="24"/>
        </w:rPr>
        <w:t>检测服务，并出具检验报告。</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提供承诺函</w:t>
      </w:r>
      <w:r>
        <w:rPr>
          <w:rFonts w:hint="eastAsia" w:ascii="仿宋" w:hAnsi="仿宋" w:eastAsia="仿宋" w:cs="仿宋"/>
          <w:color w:val="auto"/>
          <w:sz w:val="24"/>
          <w:szCs w:val="24"/>
          <w:lang w:eastAsia="zh-CN"/>
        </w:rPr>
        <w:t>）</w:t>
      </w:r>
    </w:p>
    <w:p w14:paraId="7148B5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2、成交供应商根据本项目服务要求，提供如下服务：</w:t>
      </w:r>
      <w:r>
        <w:rPr>
          <w:rFonts w:hint="eastAsia" w:ascii="仿宋" w:hAnsi="仿宋" w:eastAsia="仿宋" w:cs="仿宋"/>
          <w:color w:val="auto"/>
          <w:spacing w:val="-1"/>
          <w:sz w:val="24"/>
          <w:szCs w:val="24"/>
        </w:rPr>
        <w:t>①标本收取、②标本运输、③样本储存、④样本检测、⑤样本检测报告出具</w:t>
      </w:r>
      <w:r>
        <w:rPr>
          <w:rFonts w:hint="eastAsia" w:ascii="仿宋" w:hAnsi="仿宋" w:eastAsia="仿宋" w:cs="仿宋"/>
          <w:color w:val="auto"/>
          <w:spacing w:val="-1"/>
          <w:sz w:val="24"/>
          <w:szCs w:val="24"/>
          <w:lang w:eastAsia="zh-CN"/>
        </w:rPr>
        <w:t>。</w:t>
      </w:r>
    </w:p>
    <w:p w14:paraId="41A291AA">
      <w:pPr>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3、接到申请后2小时内上门收取标本，标本运输可供追溯，运输过程中符合规范，保证标本质量。</w:t>
      </w:r>
    </w:p>
    <w:p w14:paraId="161710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4.4、冷链标本运输：按双方约定的时间取送标本，派专人处理外送检验标本，专人专车负责送检标本的安全运输。标本接收时应规范操作，并现场核对标本是否完好。运输过程中确保标本运输过程的安全及有效，保证标本质量。</w:t>
      </w:r>
    </w:p>
    <w:p w14:paraId="39CD89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rPr>
      </w:pPr>
      <w:r>
        <w:rPr>
          <w:rFonts w:hint="eastAsia" w:ascii="仿宋" w:hAnsi="仿宋" w:eastAsia="仿宋" w:cs="仿宋"/>
          <w:color w:val="auto"/>
          <w:sz w:val="24"/>
          <w:szCs w:val="24"/>
          <w:lang w:val="en-US" w:eastAsia="zh-CN"/>
        </w:rPr>
        <w:t>4.5、发送报告：检测报告需按照项目规定或约定的出报告时间出具，检测报告需提供完善准确的病人信息并具备有效的检测人员电子签名。如供应商检测报告超出约定时间而又未出具书面通知委托方造成恶劣影响的（包括造成医疗纠纷、有群众投诉造成严重后果等），供应商承担相应的经济和法律责任。报告的延误送达（次数累计/月/季度）：每月≤5例，每季度≤10例。</w:t>
      </w:r>
    </w:p>
    <w:p w14:paraId="59553417">
      <w:pPr>
        <w:pStyle w:val="8"/>
        <w:spacing w:line="360" w:lineRule="auto"/>
        <w:ind w:left="0" w:leftChars="0" w:firstLine="480" w:firstLineChars="200"/>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CN"/>
        </w:rPr>
        <w:t>▲4.6</w:t>
      </w:r>
      <w:r>
        <w:rPr>
          <w:rFonts w:hint="eastAsia" w:ascii="仿宋" w:hAnsi="仿宋" w:eastAsia="仿宋" w:cs="仿宋"/>
          <w:color w:val="auto"/>
          <w:sz w:val="24"/>
          <w:szCs w:val="24"/>
          <w:highlight w:val="none"/>
        </w:rPr>
        <w:t>、为保证检测质量，成交供应商需取得ISO15189（包含病理与检验）或CAP认证。</w:t>
      </w:r>
    </w:p>
    <w:p w14:paraId="7437444C">
      <w:pPr>
        <w:numPr>
          <w:ilvl w:val="0"/>
          <w:numId w:val="0"/>
        </w:numPr>
        <w:spacing w:line="440" w:lineRule="exact"/>
        <w:ind w:firstLine="482" w:firstLineChars="200"/>
        <w:outlineLvl w:val="1"/>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5.</w:t>
      </w:r>
      <w:r>
        <w:rPr>
          <w:rFonts w:hint="eastAsia" w:ascii="仿宋" w:hAnsi="仿宋" w:eastAsia="仿宋" w:cs="仿宋"/>
          <w:b/>
          <w:bCs/>
          <w:color w:val="auto"/>
          <w:sz w:val="24"/>
          <w:szCs w:val="24"/>
        </w:rPr>
        <w:t>区域检验中心人才培养服务要求</w:t>
      </w:r>
    </w:p>
    <w:p w14:paraId="43FD5C47">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1、成交供应商需开展实验室管理体系建设、体系认可等相关培训。</w:t>
      </w:r>
    </w:p>
    <w:p w14:paraId="03A38A6F">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2、成交供应商需定期组织最新检验项目相关专业知识培训。</w:t>
      </w:r>
    </w:p>
    <w:p w14:paraId="1AA1D547">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3、成交供应商需提供人才进修学习渠道，包括三方实验室、大型合作医院实验室等。</w:t>
      </w:r>
    </w:p>
    <w:p w14:paraId="49C71664">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4、成交供应商需提供学术类讲座课程培训活动。</w:t>
      </w:r>
    </w:p>
    <w:p w14:paraId="68B3D928">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5、成交供应商需提供参加各类国家和省级学术培训会议等。</w:t>
      </w:r>
    </w:p>
    <w:p w14:paraId="39F329CC">
      <w:pPr>
        <w:spacing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6、成交供应商需提供院内学术讲座、继续教育及学术会议交流、理论及实操培训。</w:t>
      </w:r>
    </w:p>
    <w:p w14:paraId="604DD932">
      <w:pPr>
        <w:spacing w:line="360" w:lineRule="auto"/>
        <w:ind w:firstLine="480" w:firstLineChars="200"/>
        <w:jc w:val="left"/>
        <w:rPr>
          <w:rFonts w:hint="eastAsia" w:ascii="仿宋" w:hAnsi="仿宋" w:eastAsia="仿宋" w:cs="仿宋"/>
          <w:b/>
          <w:bCs/>
          <w:color w:val="auto"/>
          <w:sz w:val="24"/>
          <w:szCs w:val="24"/>
          <w:lang w:val="en-US" w:eastAsia="zh-CN"/>
        </w:rPr>
      </w:pPr>
      <w:r>
        <w:rPr>
          <w:rFonts w:hint="eastAsia" w:ascii="仿宋" w:hAnsi="仿宋" w:eastAsia="仿宋" w:cs="仿宋"/>
          <w:bCs/>
          <w:color w:val="auto"/>
          <w:sz w:val="24"/>
          <w:szCs w:val="24"/>
          <w:lang w:val="en-US" w:eastAsia="zh-CN"/>
        </w:rPr>
        <w:t>5.</w:t>
      </w:r>
      <w:r>
        <w:rPr>
          <w:rFonts w:hint="eastAsia" w:ascii="仿宋" w:hAnsi="仿宋" w:eastAsia="仿宋" w:cs="仿宋"/>
          <w:bCs/>
          <w:color w:val="auto"/>
          <w:sz w:val="24"/>
          <w:szCs w:val="24"/>
        </w:rPr>
        <w:t>7、成交供应商需协同区域中心实验室，共同制定实验室人才梯队建设方案。根据实验室建设与发展规划，制定相关学科平台的人才配置方案，根据项目需要协助制定招聘计划、提供人才招聘服务等。</w:t>
      </w:r>
    </w:p>
    <w:p w14:paraId="59867B81">
      <w:pPr>
        <w:spacing w:line="440" w:lineRule="exact"/>
        <w:rPr>
          <w:rFonts w:hint="eastAsia" w:ascii="仿宋" w:hAnsi="仿宋" w:eastAsia="仿宋" w:cs="仿宋"/>
          <w:color w:val="4874CB" w:themeColor="accent1"/>
          <w:kern w:val="28"/>
          <w:sz w:val="24"/>
          <w14:textFill>
            <w14:solidFill>
              <w14:schemeClr w14:val="accent1"/>
            </w14:solidFill>
          </w14:textFill>
        </w:rPr>
      </w:pPr>
    </w:p>
    <w:p w14:paraId="329A5024">
      <w:pPr>
        <w:pStyle w:val="10"/>
        <w:spacing w:before="0" w:after="0" w:line="440" w:lineRule="exact"/>
        <w:ind w:firstLine="482" w:firstLineChars="200"/>
        <w:jc w:val="both"/>
        <w:outlineLvl w:val="0"/>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三、商务要求</w:t>
      </w:r>
    </w:p>
    <w:p w14:paraId="78C2867C">
      <w:pPr>
        <w:pStyle w:val="4"/>
        <w:spacing w:line="440" w:lineRule="exact"/>
        <w:ind w:firstLine="480"/>
        <w:rPr>
          <w:rFonts w:hint="eastAsia" w:ascii="仿宋" w:hAnsi="仿宋" w:eastAsia="仿宋" w:cs="仿宋"/>
          <w:color w:val="auto"/>
          <w:sz w:val="24"/>
        </w:rPr>
      </w:pPr>
      <w:r>
        <w:rPr>
          <w:rFonts w:hint="eastAsia" w:ascii="仿宋" w:hAnsi="仿宋" w:eastAsia="仿宋" w:cs="仿宋"/>
          <w:color w:val="auto"/>
          <w:sz w:val="24"/>
        </w:rPr>
        <w:t>1.服务期限：区域检验共建服务项目合同期为</w:t>
      </w:r>
      <w:r>
        <w:rPr>
          <w:rFonts w:hint="eastAsia" w:ascii="仿宋" w:hAnsi="仿宋" w:eastAsia="仿宋" w:cs="仿宋"/>
          <w:color w:val="auto"/>
          <w:sz w:val="24"/>
          <w:lang w:eastAsia="zh-CN"/>
        </w:rPr>
        <w:t>一</w:t>
      </w:r>
      <w:r>
        <w:rPr>
          <w:rFonts w:hint="eastAsia" w:ascii="仿宋" w:hAnsi="仿宋" w:eastAsia="仿宋" w:cs="仿宋"/>
          <w:color w:val="auto"/>
          <w:sz w:val="24"/>
        </w:rPr>
        <w:t>年，合同期满后根据各项指标合作实际情况双方优先协商续签。</w:t>
      </w:r>
    </w:p>
    <w:p w14:paraId="4D08A623">
      <w:pPr>
        <w:pStyle w:val="4"/>
        <w:spacing w:line="440" w:lineRule="exact"/>
        <w:ind w:firstLine="480"/>
        <w:rPr>
          <w:rFonts w:hint="eastAsia" w:ascii="仿宋" w:hAnsi="仿宋" w:eastAsia="仿宋" w:cs="仿宋"/>
          <w:color w:val="auto"/>
          <w:sz w:val="24"/>
        </w:rPr>
      </w:pPr>
      <w:r>
        <w:rPr>
          <w:rFonts w:hint="eastAsia" w:ascii="仿宋" w:hAnsi="仿宋" w:eastAsia="仿宋" w:cs="仿宋"/>
          <w:color w:val="auto"/>
          <w:sz w:val="24"/>
        </w:rPr>
        <w:t>2.费用种类及报价要求：该项目由</w:t>
      </w:r>
      <w:r>
        <w:rPr>
          <w:rFonts w:hint="eastAsia" w:ascii="仿宋" w:hAnsi="仿宋" w:eastAsia="仿宋" w:cs="仿宋"/>
          <w:color w:val="auto"/>
          <w:sz w:val="24"/>
          <w:lang w:eastAsia="zh-CN"/>
        </w:rPr>
        <w:t>采购单位按中标金额向中标单位支付物流运输服务费用。</w:t>
      </w:r>
    </w:p>
    <w:p w14:paraId="79286EE5">
      <w:pPr>
        <w:pStyle w:val="4"/>
        <w:spacing w:line="440" w:lineRule="exact"/>
        <w:ind w:firstLine="480"/>
        <w:rPr>
          <w:rFonts w:hint="eastAsia" w:ascii="仿宋" w:hAnsi="仿宋" w:eastAsia="仿宋" w:cs="仿宋"/>
          <w:color w:val="auto"/>
          <w:sz w:val="24"/>
        </w:rPr>
      </w:pPr>
      <w:r>
        <w:rPr>
          <w:rFonts w:hint="eastAsia" w:ascii="仿宋" w:hAnsi="仿宋" w:eastAsia="仿宋" w:cs="仿宋"/>
          <w:color w:val="auto"/>
          <w:sz w:val="24"/>
        </w:rPr>
        <w:t>3.付款方式：</w:t>
      </w:r>
      <w:r>
        <w:rPr>
          <w:rFonts w:hint="eastAsia" w:ascii="仿宋" w:hAnsi="仿宋" w:eastAsia="仿宋" w:cs="仿宋"/>
          <w:color w:val="auto"/>
          <w:sz w:val="24"/>
          <w:lang w:eastAsia="zh-CN"/>
        </w:rPr>
        <w:t>采购人按</w:t>
      </w:r>
      <w:r>
        <w:rPr>
          <w:rFonts w:hint="eastAsia" w:ascii="仿宋" w:hAnsi="仿宋" w:eastAsia="仿宋" w:cs="仿宋"/>
          <w:color w:val="auto"/>
          <w:sz w:val="24"/>
          <w:lang w:val="en-US" w:eastAsia="zh-CN"/>
        </w:rPr>
        <w:t>季度</w:t>
      </w:r>
      <w:r>
        <w:rPr>
          <w:rFonts w:hint="eastAsia" w:ascii="仿宋" w:hAnsi="仿宋" w:eastAsia="仿宋" w:cs="仿宋"/>
          <w:color w:val="auto"/>
          <w:sz w:val="24"/>
          <w:lang w:eastAsia="zh-CN"/>
        </w:rPr>
        <w:t>向中标人支付物流运输服务费。</w:t>
      </w:r>
      <w:r>
        <w:rPr>
          <w:rFonts w:hint="eastAsia" w:ascii="仿宋" w:hAnsi="仿宋" w:eastAsia="仿宋" w:cs="仿宋"/>
          <w:color w:val="auto"/>
          <w:sz w:val="24"/>
        </w:rPr>
        <w:t>以电汇或银行转账方式支付。</w:t>
      </w:r>
    </w:p>
    <w:p w14:paraId="3D6B0C14">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sz w:val="24"/>
        </w:rPr>
        <w:t>4.整体服务内容</w:t>
      </w:r>
    </w:p>
    <w:p w14:paraId="54CFDA8C">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kern w:val="28"/>
          <w:sz w:val="24"/>
        </w:rPr>
        <w:t>4.1对</w:t>
      </w:r>
      <w:r>
        <w:rPr>
          <w:rFonts w:hint="eastAsia" w:ascii="仿宋" w:hAnsi="仿宋" w:eastAsia="仿宋" w:cs="仿宋"/>
          <w:color w:val="auto"/>
          <w:sz w:val="24"/>
          <w:szCs w:val="24"/>
        </w:rPr>
        <w:t>区域检验中心</w:t>
      </w:r>
      <w:r>
        <w:rPr>
          <w:rFonts w:hint="eastAsia" w:ascii="仿宋" w:hAnsi="仿宋" w:eastAsia="仿宋" w:cs="仿宋"/>
          <w:color w:val="auto"/>
          <w:sz w:val="24"/>
          <w:szCs w:val="24"/>
          <w:lang w:val="en-US" w:eastAsia="zh-CN"/>
        </w:rPr>
        <w:t>提供</w:t>
      </w:r>
      <w:r>
        <w:rPr>
          <w:rFonts w:hint="eastAsia" w:ascii="仿宋" w:hAnsi="仿宋" w:eastAsia="仿宋" w:cs="仿宋"/>
          <w:color w:val="auto"/>
          <w:sz w:val="24"/>
          <w:szCs w:val="24"/>
        </w:rPr>
        <w:t>实验室检测能力提升技术</w:t>
      </w:r>
      <w:r>
        <w:rPr>
          <w:rFonts w:hint="eastAsia" w:ascii="仿宋" w:hAnsi="仿宋" w:eastAsia="仿宋" w:cs="仿宋"/>
          <w:color w:val="auto"/>
          <w:sz w:val="24"/>
          <w:szCs w:val="24"/>
          <w:lang w:val="en-US" w:eastAsia="zh-CN"/>
        </w:rPr>
        <w:t>服务</w:t>
      </w:r>
      <w:r>
        <w:rPr>
          <w:rFonts w:hint="eastAsia" w:ascii="仿宋" w:hAnsi="仿宋" w:eastAsia="仿宋" w:cs="仿宋"/>
          <w:color w:val="auto"/>
          <w:kern w:val="28"/>
          <w:sz w:val="24"/>
        </w:rPr>
        <w:t>；</w:t>
      </w:r>
    </w:p>
    <w:p w14:paraId="40A31265">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kern w:val="28"/>
          <w:sz w:val="24"/>
        </w:rPr>
        <w:t>4.2为区域检验中心提供</w:t>
      </w:r>
      <w:r>
        <w:rPr>
          <w:rFonts w:hint="eastAsia" w:ascii="仿宋" w:hAnsi="仿宋" w:eastAsia="仿宋" w:cs="仿宋"/>
          <w:color w:val="auto"/>
          <w:sz w:val="24"/>
          <w:szCs w:val="24"/>
        </w:rPr>
        <w:t>信息化</w:t>
      </w:r>
      <w:r>
        <w:rPr>
          <w:rFonts w:hint="eastAsia" w:ascii="仿宋" w:hAnsi="仿宋" w:eastAsia="仿宋" w:cs="仿宋"/>
          <w:color w:val="auto"/>
          <w:sz w:val="24"/>
          <w:szCs w:val="24"/>
          <w:lang w:val="en-US" w:eastAsia="zh-CN"/>
        </w:rPr>
        <w:t>区域</w:t>
      </w:r>
      <w:bookmarkStart w:id="3" w:name="_GoBack"/>
      <w:bookmarkEnd w:id="3"/>
      <w:r>
        <w:rPr>
          <w:rFonts w:hint="eastAsia" w:ascii="仿宋" w:hAnsi="仿宋" w:eastAsia="仿宋" w:cs="仿宋"/>
          <w:color w:val="auto"/>
          <w:sz w:val="24"/>
          <w:szCs w:val="24"/>
        </w:rPr>
        <w:t>检验数据平台</w:t>
      </w:r>
      <w:r>
        <w:rPr>
          <w:rFonts w:hint="eastAsia" w:ascii="仿宋" w:hAnsi="仿宋" w:eastAsia="仿宋" w:cs="仿宋"/>
          <w:color w:val="auto"/>
          <w:sz w:val="24"/>
          <w:szCs w:val="24"/>
          <w:lang w:val="en-US" w:eastAsia="zh-CN"/>
        </w:rPr>
        <w:t>建设服务</w:t>
      </w:r>
      <w:r>
        <w:rPr>
          <w:rFonts w:hint="eastAsia" w:ascii="仿宋" w:hAnsi="仿宋" w:eastAsia="仿宋" w:cs="仿宋"/>
          <w:color w:val="auto"/>
          <w:kern w:val="28"/>
          <w:sz w:val="24"/>
        </w:rPr>
        <w:t>；</w:t>
      </w:r>
    </w:p>
    <w:p w14:paraId="136708CC">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kern w:val="28"/>
          <w:sz w:val="24"/>
        </w:rPr>
        <w:t>4.3为区域检验中心提供</w:t>
      </w:r>
      <w:r>
        <w:rPr>
          <w:rFonts w:hint="eastAsia" w:ascii="仿宋" w:hAnsi="仿宋" w:eastAsia="仿宋" w:cs="仿宋"/>
          <w:color w:val="auto"/>
          <w:kern w:val="28"/>
          <w:sz w:val="24"/>
          <w:lang w:val="en-US" w:eastAsia="zh-CN"/>
        </w:rPr>
        <w:t>物流系统建设</w:t>
      </w:r>
      <w:r>
        <w:rPr>
          <w:rFonts w:hint="eastAsia" w:ascii="仿宋" w:hAnsi="仿宋" w:eastAsia="仿宋" w:cs="仿宋"/>
          <w:color w:val="auto"/>
          <w:kern w:val="28"/>
          <w:sz w:val="24"/>
        </w:rPr>
        <w:t>服务；</w:t>
      </w:r>
    </w:p>
    <w:p w14:paraId="6CD67090">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kern w:val="28"/>
          <w:sz w:val="24"/>
        </w:rPr>
        <w:t>4.4为区域检验中心提供</w:t>
      </w:r>
      <w:r>
        <w:rPr>
          <w:rFonts w:hint="eastAsia" w:ascii="仿宋" w:hAnsi="仿宋" w:eastAsia="仿宋" w:cs="仿宋"/>
          <w:color w:val="auto"/>
          <w:kern w:val="28"/>
          <w:sz w:val="24"/>
          <w:lang w:val="en-US" w:eastAsia="zh-CN"/>
        </w:rPr>
        <w:t>检查能力应急补充</w:t>
      </w:r>
      <w:r>
        <w:rPr>
          <w:rFonts w:hint="eastAsia" w:ascii="仿宋" w:hAnsi="仿宋" w:eastAsia="仿宋" w:cs="仿宋"/>
          <w:color w:val="auto"/>
          <w:kern w:val="28"/>
          <w:sz w:val="24"/>
        </w:rPr>
        <w:t>服务；</w:t>
      </w:r>
    </w:p>
    <w:p w14:paraId="4C9F4B66">
      <w:pPr>
        <w:spacing w:line="440" w:lineRule="exact"/>
        <w:ind w:firstLine="480" w:firstLineChars="200"/>
        <w:rPr>
          <w:rFonts w:hint="eastAsia" w:ascii="仿宋" w:hAnsi="仿宋" w:eastAsia="仿宋" w:cs="仿宋"/>
          <w:color w:val="auto"/>
          <w:kern w:val="28"/>
          <w:sz w:val="24"/>
        </w:rPr>
      </w:pPr>
      <w:r>
        <w:rPr>
          <w:rFonts w:hint="eastAsia" w:ascii="仿宋" w:hAnsi="仿宋" w:eastAsia="仿宋" w:cs="仿宋"/>
          <w:color w:val="auto"/>
          <w:kern w:val="28"/>
          <w:sz w:val="24"/>
        </w:rPr>
        <w:t>4.5</w:t>
      </w:r>
      <w:r>
        <w:rPr>
          <w:rFonts w:hint="eastAsia" w:ascii="仿宋" w:hAnsi="仿宋" w:eastAsia="仿宋" w:cs="仿宋"/>
          <w:color w:val="auto"/>
          <w:kern w:val="28"/>
          <w:sz w:val="24"/>
          <w:lang w:val="en-US" w:eastAsia="zh-CN"/>
        </w:rPr>
        <w:t>为</w:t>
      </w:r>
      <w:r>
        <w:rPr>
          <w:rFonts w:hint="eastAsia" w:ascii="仿宋" w:hAnsi="仿宋" w:eastAsia="仿宋" w:cs="仿宋"/>
          <w:color w:val="auto"/>
          <w:kern w:val="28"/>
          <w:sz w:val="24"/>
        </w:rPr>
        <w:t>区域检验中心</w:t>
      </w:r>
      <w:r>
        <w:rPr>
          <w:rFonts w:hint="eastAsia" w:ascii="仿宋" w:hAnsi="仿宋" w:eastAsia="仿宋" w:cs="仿宋"/>
          <w:color w:val="auto"/>
          <w:kern w:val="28"/>
          <w:sz w:val="24"/>
          <w:lang w:val="en-US" w:eastAsia="zh-CN"/>
        </w:rPr>
        <w:t>提供人才培养服务</w:t>
      </w:r>
      <w:r>
        <w:rPr>
          <w:rFonts w:hint="eastAsia" w:ascii="仿宋" w:hAnsi="仿宋" w:eastAsia="仿宋" w:cs="仿宋"/>
          <w:color w:val="auto"/>
          <w:kern w:val="28"/>
          <w:sz w:val="24"/>
        </w:rPr>
        <w:t>；</w:t>
      </w:r>
    </w:p>
    <w:p w14:paraId="6882DCA3">
      <w:pPr>
        <w:pStyle w:val="4"/>
        <w:spacing w:line="440" w:lineRule="exact"/>
        <w:ind w:firstLine="480"/>
        <w:rPr>
          <w:rFonts w:hint="eastAsia" w:ascii="仿宋" w:hAnsi="仿宋" w:eastAsia="仿宋" w:cs="仿宋"/>
          <w:color w:val="auto"/>
          <w:sz w:val="24"/>
        </w:rPr>
      </w:pPr>
      <w:r>
        <w:rPr>
          <w:rFonts w:hint="eastAsia" w:ascii="仿宋" w:hAnsi="仿宋" w:eastAsia="仿宋" w:cs="仿宋"/>
          <w:color w:val="auto"/>
          <w:sz w:val="24"/>
        </w:rPr>
        <w:t>5.其它商务要求：</w:t>
      </w:r>
    </w:p>
    <w:p w14:paraId="731F4C5F">
      <w:pPr>
        <w:pStyle w:val="4"/>
        <w:spacing w:line="440" w:lineRule="exact"/>
        <w:ind w:firstLine="480"/>
        <w:rPr>
          <w:rFonts w:hint="eastAsia" w:ascii="仿宋" w:hAnsi="仿宋" w:eastAsia="仿宋" w:cs="仿宋"/>
          <w:color w:val="auto"/>
          <w:kern w:val="0"/>
          <w:sz w:val="24"/>
        </w:rPr>
      </w:pPr>
      <w:r>
        <w:rPr>
          <w:rFonts w:hint="eastAsia" w:ascii="仿宋" w:hAnsi="仿宋" w:eastAsia="仿宋" w:cs="仿宋"/>
          <w:color w:val="auto"/>
          <w:kern w:val="0"/>
          <w:sz w:val="24"/>
        </w:rPr>
        <w:t>5.1投标人提供的满足该服务运行需要的条件。</w:t>
      </w:r>
    </w:p>
    <w:p w14:paraId="4AAF2CCF">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5.</w:t>
      </w:r>
      <w:r>
        <w:rPr>
          <w:rFonts w:hint="eastAsia" w:ascii="仿宋" w:hAnsi="仿宋" w:eastAsia="仿宋" w:cs="仿宋"/>
          <w:color w:val="auto"/>
          <w:sz w:val="24"/>
          <w:lang w:val="en-US" w:eastAsia="zh-CN"/>
        </w:rPr>
        <w:t>2</w:t>
      </w:r>
      <w:r>
        <w:rPr>
          <w:rFonts w:hint="eastAsia" w:ascii="仿宋" w:hAnsi="仿宋" w:eastAsia="仿宋" w:cs="仿宋"/>
          <w:color w:val="auto"/>
          <w:sz w:val="24"/>
        </w:rPr>
        <w:t xml:space="preserve"> 完成人员资质培训管理、日常表单数据管理等信息化管理功能。</w:t>
      </w:r>
    </w:p>
    <w:p w14:paraId="720127BA">
      <w:pPr>
        <w:pStyle w:val="16"/>
        <w:numPr>
          <w:ilvl w:val="0"/>
          <w:numId w:val="0"/>
        </w:numPr>
        <w:snapToGrid w:val="0"/>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rPr>
        <w:t>5.5</w:t>
      </w:r>
      <w:r>
        <w:rPr>
          <w:rFonts w:hint="eastAsia" w:ascii="仿宋" w:hAnsi="仿宋" w:eastAsia="仿宋" w:cs="仿宋"/>
          <w:color w:val="auto"/>
          <w:sz w:val="24"/>
          <w:szCs w:val="24"/>
          <w:highlight w:val="none"/>
          <w:lang w:eastAsia="zh-CN"/>
        </w:rPr>
        <w:t>项目遵循的政策法规及相关标准，包括但不限于以下内容，合作期内（含实施期、质保期和维保期）以下内容若有最新版本按最新版本建设或改造。</w:t>
      </w:r>
    </w:p>
    <w:p w14:paraId="4151B10C">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《“健康中国2030”规划纲要》；</w:t>
      </w:r>
    </w:p>
    <w:p w14:paraId="06750450">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《信息安全等级保护管理办法》（公通字[2007]43号）；</w:t>
      </w:r>
    </w:p>
    <w:p w14:paraId="56134D93">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中华人民共和国计算机信息系统安全保护条例(国务院147号令)；</w:t>
      </w:r>
    </w:p>
    <w:p w14:paraId="6CE6D642">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关于信息安全等级保护工作的实施意见(公通字[2004]66号)；</w:t>
      </w:r>
    </w:p>
    <w:p w14:paraId="5888C22B">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《全国医院信息化建设标准与规范（试行）》；</w:t>
      </w:r>
    </w:p>
    <w:p w14:paraId="13491DEF">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《医院信息化建设应用技术指引（2017年版）》</w:t>
      </w:r>
    </w:p>
    <w:p w14:paraId="4F377BE6">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《卫生系统电子认证服务规范》；</w:t>
      </w:r>
    </w:p>
    <w:p w14:paraId="3AC60A5C">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《三级综合医院评审标准》及其《实施细则》；</w:t>
      </w:r>
    </w:p>
    <w:p w14:paraId="6350AB2D">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《电子病历系统应用水平分级评价管理办法（试行）及评价标准（试行）》；</w:t>
      </w:r>
    </w:p>
    <w:p w14:paraId="1CE3209B">
      <w:pPr>
        <w:pageBreakBefore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szCs w:val="24"/>
          <w:highlight w:val="none"/>
        </w:rPr>
        <w:t>《医院信息互联互通标准化成熟度测评方案（2020年版）》；</w:t>
      </w:r>
    </w:p>
    <w:p w14:paraId="112DE3DC">
      <w:pPr>
        <w:pageBreakBefore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5.6</w:t>
      </w:r>
      <w:r>
        <w:rPr>
          <w:rFonts w:hint="eastAsia" w:ascii="仿宋" w:hAnsi="仿宋" w:eastAsia="仿宋" w:cs="仿宋"/>
          <w:b w:val="0"/>
          <w:bCs w:val="0"/>
          <w:strike w:val="0"/>
          <w:dstrike w:val="0"/>
          <w:color w:val="auto"/>
          <w:sz w:val="24"/>
          <w:szCs w:val="24"/>
          <w:highlight w:val="none"/>
          <w:lang w:val="en-US" w:eastAsia="zh-CN"/>
        </w:rPr>
        <w:t>本项目包含区域检验中心建设实施过程中必要的系统费用。</w:t>
      </w:r>
    </w:p>
    <w:p w14:paraId="67C441E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5.7本项目须根据政策要求和医院需求，无条件响应（如涉及）：</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日常问题故障处理、改正性维护、完善性维护、预防性维护、适应政策性修改、</w:t>
      </w:r>
      <w:r>
        <w:rPr>
          <w:rFonts w:hint="eastAsia" w:ascii="仿宋" w:hAnsi="仿宋" w:eastAsia="仿宋" w:cs="仿宋"/>
          <w:color w:val="auto"/>
          <w:sz w:val="24"/>
          <w:szCs w:val="24"/>
          <w:highlight w:val="none"/>
          <w:lang w:eastAsia="zh-CN"/>
        </w:rPr>
        <w:t>提升安全性能类修改、</w:t>
      </w:r>
      <w:r>
        <w:rPr>
          <w:rFonts w:hint="eastAsia" w:ascii="仿宋" w:hAnsi="仿宋" w:eastAsia="仿宋" w:cs="仿宋"/>
          <w:color w:val="auto"/>
          <w:sz w:val="24"/>
          <w:szCs w:val="24"/>
          <w:highlight w:val="none"/>
        </w:rPr>
        <w:t>医院管理要求的新需求修改、软件相关的数据安全、现有（新增）医院院内业务系统的集成和外部平台的对接、操作培训、报表新增、数据统计、数据采集、数据上报、质量管理等。</w:t>
      </w:r>
    </w:p>
    <w:p w14:paraId="779407F0">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lang w:val="en-US" w:eastAsia="zh-CN"/>
        </w:rPr>
        <w:t>5.8</w:t>
      </w:r>
      <w:r>
        <w:rPr>
          <w:rFonts w:hint="eastAsia" w:ascii="仿宋" w:hAnsi="仿宋" w:eastAsia="仿宋" w:cs="仿宋"/>
          <w:color w:val="auto"/>
          <w:sz w:val="24"/>
          <w:szCs w:val="24"/>
          <w:highlight w:val="none"/>
        </w:rPr>
        <w:t>在项目的实施管理中，应明确具体的项目目标、工作内容、实施任务、集成接口内容、数据集合整合治理方式、实施注意事项、项目难点以及影响风险因素；应拟定周密的项目实施计划进度；应明确项目实施人员、岗位职责；应落实应用培训方案（含培训计划和培训内容）</w:t>
      </w:r>
    </w:p>
    <w:p w14:paraId="033C12F9">
      <w:pPr>
        <w:pageBreakBefore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5.9安全性和保密性。遵循有关信息安全标准，具有切实可行的安全保护和保密措施，确保数据永久安全。系统应提供多方式、多层次、多渠道的安全保密措施，防止各种形式与途径的非法侵入和机密信息的泄露，保证系统中数据的安全。</w:t>
      </w:r>
    </w:p>
    <w:p w14:paraId="2B87EB84">
      <w:pPr>
        <w:pageBreakBefore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5.10、</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提供方应提供具有该领域丰富工作经验的项目经理、项目建设团队、项目运维团队和省内各地技术服务等人员，负责项目的启动、计划、建设、实施、联调测试、整体控制等全过程工作，快速地响应和解决问题。人员应相对稳定，专职为本项目服务，未经院方同意，不得更换项目经理和技术核心专家，项目人员不能满足项目要求时，院方有权提出人员更换要求，</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提供方应无条件接受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直至院方对成交</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方提供的相关人员满意。若因特殊原因确需变更人员时，需提前10日以书面形式向院方提出人员变动申请，经院方同意并做好工</w:t>
      </w:r>
      <w:r>
        <w:rPr>
          <w:rFonts w:hint="eastAsia" w:ascii="仿宋" w:hAnsi="仿宋" w:eastAsia="仿宋" w:cs="仿宋"/>
          <w:color w:val="auto"/>
          <w:sz w:val="24"/>
          <w:szCs w:val="24"/>
          <w:highlight w:val="none"/>
          <w:lang w:eastAsia="zh-CN"/>
        </w:rPr>
        <w:t>作交接</w:t>
      </w:r>
      <w:r>
        <w:rPr>
          <w:rFonts w:hint="eastAsia" w:ascii="仿宋" w:hAnsi="仿宋" w:eastAsia="仿宋" w:cs="仿宋"/>
          <w:color w:val="auto"/>
          <w:sz w:val="24"/>
          <w:szCs w:val="24"/>
          <w:highlight w:val="none"/>
        </w:rPr>
        <w:t>。</w:t>
      </w:r>
    </w:p>
    <w:p w14:paraId="2A6106EB">
      <w:pPr>
        <w:pageBreakBefore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5.11</w:t>
      </w:r>
      <w:r>
        <w:rPr>
          <w:rFonts w:hint="eastAsia" w:ascii="仿宋" w:hAnsi="仿宋" w:eastAsia="仿宋" w:cs="仿宋"/>
          <w:color w:val="auto"/>
          <w:sz w:val="24"/>
          <w:szCs w:val="24"/>
          <w:highlight w:val="none"/>
        </w:rPr>
        <w:t>培训要求</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提供方制定培训计划，包括：培训对象、培训内容、培训时间等，对本产品涉及的直接及间接使用者进行全方位的培训，直至能熟练操作</w:t>
      </w:r>
      <w:r>
        <w:rPr>
          <w:rFonts w:hint="eastAsia" w:ascii="仿宋" w:hAnsi="仿宋" w:eastAsia="仿宋" w:cs="仿宋"/>
          <w:color w:val="auto"/>
          <w:sz w:val="24"/>
          <w:szCs w:val="24"/>
          <w:highlight w:val="none"/>
          <w:lang w:eastAsia="zh-CN"/>
        </w:rPr>
        <w:t>。</w:t>
      </w:r>
    </w:p>
    <w:p w14:paraId="64758784">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5.12</w:t>
      </w:r>
      <w:r>
        <w:rPr>
          <w:rFonts w:hint="eastAsia" w:ascii="仿宋" w:hAnsi="仿宋" w:eastAsia="仿宋" w:cs="仿宋"/>
          <w:color w:val="auto"/>
          <w:sz w:val="24"/>
          <w:szCs w:val="24"/>
          <w:highlight w:val="none"/>
        </w:rPr>
        <w:t>质保期内，</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提供方保证提供7×24小时远程服务。为保证</w:t>
      </w:r>
      <w:r>
        <w:rPr>
          <w:rFonts w:hint="eastAsia" w:ascii="仿宋" w:hAnsi="仿宋" w:eastAsia="仿宋" w:cs="仿宋"/>
          <w:color w:val="auto"/>
          <w:sz w:val="24"/>
          <w:szCs w:val="24"/>
          <w:highlight w:val="none"/>
          <w:lang w:eastAsia="zh-CN"/>
        </w:rPr>
        <w:t>项目</w:t>
      </w:r>
      <w:r>
        <w:rPr>
          <w:rFonts w:hint="eastAsia" w:ascii="仿宋" w:hAnsi="仿宋" w:eastAsia="仿宋" w:cs="仿宋"/>
          <w:color w:val="auto"/>
          <w:sz w:val="24"/>
          <w:szCs w:val="24"/>
          <w:highlight w:val="none"/>
        </w:rPr>
        <w:t>日常问题的及时处理，工作日及节假日均需安排专人负责本</w:t>
      </w:r>
      <w:r>
        <w:rPr>
          <w:rFonts w:hint="eastAsia" w:ascii="仿宋" w:hAnsi="仿宋" w:eastAsia="仿宋" w:cs="仿宋"/>
          <w:color w:val="auto"/>
          <w:sz w:val="24"/>
          <w:szCs w:val="24"/>
          <w:highlight w:val="none"/>
          <w:lang w:eastAsia="zh-CN"/>
        </w:rPr>
        <w:t>项目</w:t>
      </w:r>
      <w:r>
        <w:rPr>
          <w:rFonts w:hint="eastAsia" w:ascii="仿宋" w:hAnsi="仿宋" w:eastAsia="仿宋" w:cs="仿宋"/>
          <w:color w:val="auto"/>
          <w:sz w:val="24"/>
          <w:szCs w:val="24"/>
          <w:highlight w:val="none"/>
        </w:rPr>
        <w:t>运维工作。出现故障时需立即响应，一般故障半小时内排除，重大故障2小时内排除，若2小时内无法解决，应提供应急措施。</w:t>
      </w:r>
    </w:p>
    <w:p w14:paraId="61299931">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5.13</w:t>
      </w:r>
      <w:r>
        <w:rPr>
          <w:rFonts w:hint="eastAsia" w:ascii="仿宋" w:hAnsi="仿宋" w:eastAsia="仿宋" w:cs="仿宋"/>
          <w:color w:val="auto"/>
          <w:sz w:val="24"/>
          <w:szCs w:val="24"/>
          <w:highlight w:val="none"/>
          <w:lang w:eastAsia="zh-CN"/>
        </w:rPr>
        <w:t>软硬件</w:t>
      </w:r>
      <w:r>
        <w:rPr>
          <w:rFonts w:hint="eastAsia" w:ascii="仿宋" w:hAnsi="仿宋" w:eastAsia="仿宋" w:cs="仿宋"/>
          <w:color w:val="auto"/>
          <w:sz w:val="24"/>
          <w:szCs w:val="24"/>
          <w:highlight w:val="none"/>
        </w:rPr>
        <w:t>提供方必须指定专门联络人、项目经理、技术经理等负责项目的技术咨询、维护的接洽工作。若有人员变动，需提前10日向医院提出人员变动申请，经院方同意并做好工作交接后方可变动。</w:t>
      </w:r>
    </w:p>
    <w:p w14:paraId="387F3D41">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5.14</w:t>
      </w:r>
      <w:r>
        <w:rPr>
          <w:rFonts w:hint="eastAsia" w:ascii="仿宋" w:hAnsi="仿宋" w:eastAsia="仿宋" w:cs="仿宋"/>
          <w:color w:val="auto"/>
          <w:sz w:val="24"/>
          <w:szCs w:val="24"/>
          <w:highlight w:val="none"/>
        </w:rPr>
        <w:t>系统支持</w:t>
      </w:r>
      <w:r>
        <w:rPr>
          <w:rFonts w:hint="eastAsia" w:ascii="仿宋" w:hAnsi="仿宋" w:eastAsia="仿宋" w:cs="仿宋"/>
          <w:color w:val="auto"/>
          <w:sz w:val="24"/>
          <w:szCs w:val="24"/>
          <w:highlight w:val="none"/>
          <w:lang w:eastAsia="zh-CN"/>
        </w:rPr>
        <w:t>并按医院需求</w:t>
      </w:r>
      <w:r>
        <w:rPr>
          <w:rFonts w:hint="eastAsia" w:ascii="仿宋" w:hAnsi="仿宋" w:eastAsia="仿宋" w:cs="仿宋"/>
          <w:color w:val="auto"/>
          <w:sz w:val="24"/>
          <w:szCs w:val="24"/>
          <w:highlight w:val="none"/>
        </w:rPr>
        <w:t>向</w:t>
      </w:r>
      <w:r>
        <w:rPr>
          <w:rFonts w:hint="eastAsia" w:ascii="仿宋" w:hAnsi="仿宋" w:eastAsia="仿宋" w:cs="仿宋"/>
          <w:color w:val="auto"/>
          <w:sz w:val="24"/>
          <w:szCs w:val="24"/>
          <w:highlight w:val="none"/>
          <w:lang w:val="en-US" w:eastAsia="zh-CN"/>
        </w:rPr>
        <w:t>区域检验中心</w:t>
      </w:r>
      <w:r>
        <w:rPr>
          <w:rFonts w:hint="eastAsia" w:ascii="仿宋" w:hAnsi="仿宋" w:eastAsia="仿宋" w:cs="仿宋"/>
          <w:color w:val="auto"/>
          <w:sz w:val="24"/>
          <w:szCs w:val="24"/>
          <w:highlight w:val="none"/>
        </w:rPr>
        <w:t>各成员单位</w:t>
      </w:r>
      <w:r>
        <w:rPr>
          <w:rFonts w:hint="eastAsia" w:ascii="仿宋" w:hAnsi="仿宋" w:eastAsia="仿宋" w:cs="仿宋"/>
          <w:color w:val="auto"/>
          <w:sz w:val="24"/>
          <w:szCs w:val="24"/>
          <w:highlight w:val="none"/>
          <w:lang w:eastAsia="zh-CN"/>
        </w:rPr>
        <w:t>和医院合作医院</w:t>
      </w:r>
      <w:r>
        <w:rPr>
          <w:rFonts w:hint="eastAsia" w:ascii="仿宋" w:hAnsi="仿宋" w:eastAsia="仿宋" w:cs="仿宋"/>
          <w:color w:val="auto"/>
          <w:sz w:val="24"/>
          <w:szCs w:val="24"/>
          <w:highlight w:val="none"/>
        </w:rPr>
        <w:t>延伸</w:t>
      </w:r>
      <w:r>
        <w:rPr>
          <w:rFonts w:hint="eastAsia" w:ascii="仿宋" w:hAnsi="仿宋" w:eastAsia="仿宋" w:cs="仿宋"/>
          <w:color w:val="auto"/>
          <w:sz w:val="24"/>
          <w:szCs w:val="24"/>
          <w:highlight w:val="none"/>
          <w:lang w:eastAsia="zh-CN"/>
        </w:rPr>
        <w:t>使用</w:t>
      </w:r>
      <w:r>
        <w:rPr>
          <w:rFonts w:hint="eastAsia" w:ascii="仿宋" w:hAnsi="仿宋" w:eastAsia="仿宋" w:cs="仿宋"/>
          <w:color w:val="auto"/>
          <w:sz w:val="24"/>
          <w:szCs w:val="24"/>
          <w:highlight w:val="none"/>
        </w:rPr>
        <w:t>。</w:t>
      </w:r>
    </w:p>
    <w:p w14:paraId="3D860221">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highlight w:val="none"/>
          <w:lang w:val="en-US" w:eastAsia="zh-CN"/>
        </w:rPr>
        <w:t>5.15</w:t>
      </w:r>
      <w:r>
        <w:rPr>
          <w:rFonts w:hint="eastAsia" w:ascii="仿宋" w:hAnsi="仿宋" w:eastAsia="仿宋" w:cs="仿宋"/>
          <w:color w:val="auto"/>
          <w:sz w:val="24"/>
          <w:szCs w:val="24"/>
        </w:rPr>
        <w:t>保密要求</w:t>
      </w:r>
      <w:r>
        <w:rPr>
          <w:rFonts w:hint="eastAsia" w:ascii="仿宋" w:hAnsi="仿宋" w:eastAsia="仿宋" w:cs="仿宋"/>
          <w:color w:val="auto"/>
          <w:sz w:val="24"/>
          <w:szCs w:val="24"/>
          <w:lang w:eastAsia="zh-CN"/>
        </w:rPr>
        <w:t>：</w:t>
      </w:r>
    </w:p>
    <w:p w14:paraId="51931AC1">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软硬件</w:t>
      </w:r>
      <w:r>
        <w:rPr>
          <w:rFonts w:hint="eastAsia" w:ascii="仿宋" w:hAnsi="仿宋" w:eastAsia="仿宋" w:cs="仿宋"/>
          <w:color w:val="auto"/>
          <w:sz w:val="24"/>
          <w:szCs w:val="24"/>
        </w:rPr>
        <w:t>提供方对本项目中涉及的信息与数据有保密义务、未经院方书面认可，不得向任何第三方透露，也不得用于本项目之外的任何其他用途。</w:t>
      </w:r>
    </w:p>
    <w:p w14:paraId="0F75892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软硬件提供</w:t>
      </w:r>
      <w:r>
        <w:rPr>
          <w:rFonts w:hint="eastAsia" w:ascii="仿宋" w:hAnsi="仿宋" w:eastAsia="仿宋" w:cs="仿宋"/>
          <w:color w:val="auto"/>
          <w:sz w:val="24"/>
          <w:szCs w:val="24"/>
        </w:rPr>
        <w:t>方技术人员需签署保密协议后方可上岗工作，并必须遵守保密义务,不得泄露、篡改或删除相关信息。因</w:t>
      </w:r>
      <w:r>
        <w:rPr>
          <w:rFonts w:hint="eastAsia" w:ascii="仿宋" w:hAnsi="仿宋" w:eastAsia="仿宋" w:cs="仿宋"/>
          <w:color w:val="auto"/>
          <w:sz w:val="24"/>
          <w:szCs w:val="24"/>
          <w:lang w:eastAsia="zh-CN"/>
        </w:rPr>
        <w:t>软硬件</w:t>
      </w:r>
      <w:r>
        <w:rPr>
          <w:rFonts w:hint="eastAsia" w:ascii="仿宋" w:hAnsi="仿宋" w:eastAsia="仿宋" w:cs="仿宋"/>
          <w:color w:val="auto"/>
          <w:sz w:val="24"/>
          <w:szCs w:val="24"/>
        </w:rPr>
        <w:t>提供方（或其员工）原因引起信息泄露，其则必须承担相应的法律责任。软硬件提供方及实施人员必须与院方签署保密协议。</w:t>
      </w:r>
    </w:p>
    <w:p w14:paraId="13DCC871">
      <w:pPr>
        <w:pageBreakBefore w:val="0"/>
        <w:numPr>
          <w:ilvl w:val="0"/>
          <w:numId w:val="0"/>
        </w:numPr>
        <w:kinsoku/>
        <w:wordWrap/>
        <w:overflowPunct/>
        <w:topLinePunct w:val="0"/>
        <w:autoSpaceDE/>
        <w:autoSpaceDN/>
        <w:bidi w:val="0"/>
        <w:adjustRightInd/>
        <w:snapToGrid/>
        <w:spacing w:after="0" w:line="360" w:lineRule="auto"/>
        <w:ind w:leftChars="0"/>
        <w:textAlignment w:val="auto"/>
        <w:rPr>
          <w:rFonts w:hint="eastAsia" w:ascii="仿宋" w:hAnsi="仿宋" w:eastAsia="仿宋" w:cs="仿宋"/>
          <w:b w:val="0"/>
          <w:bCs w:val="0"/>
          <w:color w:val="auto"/>
          <w:sz w:val="24"/>
        </w:rPr>
      </w:pPr>
      <w:r>
        <w:rPr>
          <w:rFonts w:hint="eastAsia" w:ascii="仿宋" w:hAnsi="仿宋" w:eastAsia="仿宋" w:cs="仿宋"/>
          <w:b w:val="0"/>
          <w:bCs w:val="0"/>
          <w:color w:val="auto"/>
          <w:sz w:val="24"/>
        </w:rPr>
        <w:t>6.违约责任</w:t>
      </w:r>
    </w:p>
    <w:p w14:paraId="20C025AB">
      <w:pPr>
        <w:snapToGrid w:val="0"/>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6.1成交人必须遵守采购合同并执行合同中的各项规定，保证采购合同的正常履行；</w:t>
      </w:r>
    </w:p>
    <w:p w14:paraId="6FFE3596">
      <w:pPr>
        <w:snapToGrid w:val="0"/>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6.2如因成交人工作人员在履行职务过程中的的疏忽、失职、过错等故意或者过失原因给采购人造成损失或侵害，包括但不限于采购人本身的财产损失、由此而导致的采购人对任何第三方的法律责任等，成交人对此均应承担全部的赔偿责任。</w:t>
      </w:r>
    </w:p>
    <w:p w14:paraId="2BDBFAFB">
      <w:pPr>
        <w:pStyle w:val="8"/>
        <w:spacing w:line="440" w:lineRule="exact"/>
        <w:ind w:firstLine="480"/>
        <w:rPr>
          <w:rFonts w:hint="eastAsia" w:ascii="仿宋" w:hAnsi="仿宋" w:eastAsia="仿宋" w:cs="仿宋"/>
          <w:color w:val="auto"/>
        </w:rPr>
      </w:pPr>
      <w:r>
        <w:rPr>
          <w:rFonts w:hint="eastAsia" w:ascii="仿宋" w:hAnsi="仿宋" w:eastAsia="仿宋" w:cs="仿宋"/>
          <w:color w:val="auto"/>
        </w:rPr>
        <w:t>7、安全责任：成交人承担拟派人员在服务期间的一切安全责任， 同时承担若因成交人责任引发的一切安全事故及连带责任；采购人有权追究其法律责任。</w:t>
      </w:r>
    </w:p>
    <w:p w14:paraId="6E0E308B">
      <w:pPr>
        <w:pStyle w:val="8"/>
        <w:spacing w:line="440" w:lineRule="exact"/>
        <w:ind w:firstLine="480"/>
        <w:rPr>
          <w:rFonts w:hint="eastAsia" w:ascii="仿宋" w:hAnsi="仿宋" w:eastAsia="仿宋" w:cs="仿宋"/>
          <w:color w:val="auto"/>
        </w:rPr>
      </w:pPr>
      <w:r>
        <w:rPr>
          <w:rFonts w:hint="eastAsia" w:ascii="仿宋" w:hAnsi="仿宋" w:eastAsia="仿宋" w:cs="仿宋"/>
          <w:color w:val="auto"/>
        </w:rPr>
        <w:t>8、其他未尽事项双方合同中约定。</w:t>
      </w:r>
    </w:p>
    <w:p w14:paraId="54B67B3B">
      <w:pPr>
        <w:spacing w:line="440" w:lineRule="exact"/>
        <w:ind w:firstLine="482" w:firstLineChars="200"/>
        <w:rPr>
          <w:rFonts w:hint="eastAsia" w:ascii="仿宋" w:hAnsi="仿宋" w:eastAsia="仿宋" w:cs="仿宋"/>
        </w:rPr>
      </w:pPr>
      <w:r>
        <w:rPr>
          <w:rFonts w:hint="eastAsia" w:ascii="仿宋" w:hAnsi="仿宋" w:eastAsia="仿宋" w:cs="仿宋"/>
          <w:b/>
          <w:bCs/>
          <w:color w:val="auto"/>
          <w:sz w:val="24"/>
        </w:rPr>
        <w:t>注：1.</w:t>
      </w:r>
      <w:r>
        <w:rPr>
          <w:rFonts w:hint="eastAsia" w:ascii="仿宋" w:hAnsi="仿宋" w:eastAsia="仿宋" w:cs="仿宋"/>
          <w:b/>
          <w:color w:val="auto"/>
          <w:sz w:val="24"/>
        </w:rPr>
        <w:t>本章标注“</w:t>
      </w:r>
      <w:r>
        <w:rPr>
          <w:rFonts w:hint="eastAsia" w:ascii="仿宋" w:hAnsi="仿宋" w:eastAsia="仿宋" w:cs="仿宋"/>
          <w:color w:val="auto"/>
          <w:sz w:val="24"/>
        </w:rPr>
        <w:t>▲</w:t>
      </w:r>
      <w:r>
        <w:rPr>
          <w:rFonts w:hint="eastAsia" w:ascii="仿宋" w:hAnsi="仿宋" w:eastAsia="仿宋" w:cs="仿宋"/>
          <w:b/>
          <w:color w:val="auto"/>
          <w:sz w:val="24"/>
        </w:rPr>
        <w:t>”项参数为本项目技术要求，不满足时作扣分处理。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正文）">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566EA"/>
    <w:multiLevelType w:val="singleLevel"/>
    <w:tmpl w:val="907566E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AB52B9"/>
    <w:rsid w:val="3B8D3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50" w:beforeLines="50" w:after="50" w:afterLines="50" w:line="360" w:lineRule="auto"/>
      <w:jc w:val="center"/>
      <w:outlineLvl w:val="0"/>
    </w:pPr>
    <w:rPr>
      <w:rFonts w:ascii="Times New Roman" w:hAnsi="Times New Roman" w:eastAsia="宋体"/>
      <w:b/>
      <w:bCs/>
      <w:kern w:val="44"/>
      <w:sz w:val="36"/>
      <w:szCs w:val="44"/>
    </w:rPr>
  </w:style>
  <w:style w:type="paragraph" w:styleId="3">
    <w:name w:val="heading 2"/>
    <w:basedOn w:val="1"/>
    <w:next w:val="4"/>
    <w:qFormat/>
    <w:uiPriority w:val="0"/>
    <w:pPr>
      <w:keepNext/>
      <w:keepLines/>
      <w:widowControl w:val="0"/>
      <w:spacing w:before="50" w:beforeLines="50" w:after="50" w:afterLines="50" w:line="360" w:lineRule="auto"/>
      <w:jc w:val="center"/>
      <w:outlineLvl w:val="1"/>
    </w:pPr>
    <w:rPr>
      <w:rFonts w:ascii="宋体" w:hAnsi="宋体"/>
      <w:b/>
      <w:bCs/>
      <w:kern w:val="0"/>
      <w:sz w:val="32"/>
      <w:szCs w:val="32"/>
    </w:rPr>
  </w:style>
  <w:style w:type="paragraph" w:styleId="5">
    <w:name w:val="heading 5"/>
    <w:basedOn w:val="1"/>
    <w:next w:val="1"/>
    <w:qFormat/>
    <w:uiPriority w:val="9"/>
    <w:pPr>
      <w:keepNext/>
      <w:keepLines/>
      <w:spacing w:line="408" w:lineRule="auto"/>
      <w:outlineLvl w:val="4"/>
    </w:pPr>
    <w:rPr>
      <w:b/>
      <w:bCs/>
      <w:color w:val="1A1A1A"/>
      <w:sz w:val="22"/>
      <w:szCs w:val="22"/>
    </w:rPr>
  </w:style>
  <w:style w:type="paragraph" w:styleId="6">
    <w:name w:val="heading 6"/>
    <w:basedOn w:val="1"/>
    <w:next w:val="1"/>
    <w:qFormat/>
    <w:uiPriority w:val="9"/>
    <w:pPr>
      <w:keepNext/>
      <w:keepLines/>
      <w:spacing w:line="408" w:lineRule="auto"/>
      <w:outlineLvl w:val="5"/>
    </w:pPr>
    <w:rPr>
      <w:b/>
      <w:bCs/>
      <w:color w:val="1A1A1A"/>
      <w:sz w:val="22"/>
      <w:szCs w:val="2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200" w:firstLineChars="200"/>
    </w:pPr>
  </w:style>
  <w:style w:type="paragraph" w:styleId="7">
    <w:name w:val="annotation text"/>
    <w:basedOn w:val="1"/>
    <w:qFormat/>
    <w:uiPriority w:val="0"/>
    <w:pPr>
      <w:jc w:val="left"/>
    </w:pPr>
    <w:rPr>
      <w:rFonts w:ascii="Times New Roman"/>
      <w:kern w:val="2"/>
      <w:sz w:val="21"/>
      <w:szCs w:val="24"/>
    </w:rPr>
  </w:style>
  <w:style w:type="paragraph" w:styleId="8">
    <w:name w:val="Body Text"/>
    <w:basedOn w:val="1"/>
    <w:next w:val="9"/>
    <w:qFormat/>
    <w:uiPriority w:val="0"/>
    <w:pPr>
      <w:spacing w:line="360" w:lineRule="auto"/>
      <w:ind w:firstLine="1044" w:firstLineChars="200"/>
      <w:jc w:val="left"/>
    </w:pPr>
    <w:rPr>
      <w:rFonts w:ascii="Times New Roman" w:hAnsi="Times New Roman" w:eastAsia="宋体（正文）"/>
      <w:sz w:val="24"/>
    </w:rPr>
  </w:style>
  <w:style w:type="paragraph" w:styleId="9">
    <w:name w:val="Body Text First Indent"/>
    <w:basedOn w:val="8"/>
    <w:qFormat/>
    <w:uiPriority w:val="0"/>
    <w:pPr>
      <w:ind w:firstLine="420" w:firstLineChars="100"/>
    </w:pPr>
  </w:style>
  <w:style w:type="paragraph" w:styleId="10">
    <w:name w:val="Subtitle"/>
    <w:basedOn w:val="1"/>
    <w:next w:val="1"/>
    <w:qFormat/>
    <w:uiPriority w:val="0"/>
    <w:pPr>
      <w:spacing w:before="240" w:after="60" w:line="312" w:lineRule="auto"/>
      <w:jc w:val="center"/>
      <w:outlineLvl w:val="1"/>
    </w:pPr>
    <w:rPr>
      <w:rFonts w:ascii="Arial" w:hAnsi="Arial"/>
      <w:b/>
      <w:bCs/>
      <w:kern w:val="28"/>
      <w:sz w:val="32"/>
      <w:szCs w:val="32"/>
    </w:rPr>
  </w:style>
  <w:style w:type="paragraph" w:styleId="11">
    <w:name w:val="Normal (Web)"/>
    <w:basedOn w:val="1"/>
    <w:qFormat/>
    <w:uiPriority w:val="0"/>
    <w:rPr>
      <w:sz w:val="24"/>
    </w:rPr>
  </w:style>
  <w:style w:type="paragraph" w:customStyle="1" w:styleId="14">
    <w:name w:val="List Paragraph"/>
    <w:basedOn w:val="1"/>
    <w:qFormat/>
    <w:uiPriority w:val="34"/>
    <w:pPr>
      <w:ind w:firstLine="420" w:firstLineChars="200"/>
    </w:pPr>
    <w:rPr>
      <w:rFonts w:ascii="Calibri" w:hAnsi="Calibri" w:eastAsia="宋体" w:cs="Times New Roman"/>
      <w:szCs w:val="22"/>
    </w:rPr>
  </w:style>
  <w:style w:type="paragraph" w:customStyle="1" w:styleId="15">
    <w:name w:val="1公招正文"/>
    <w:basedOn w:val="1"/>
    <w:qFormat/>
    <w:uiPriority w:val="0"/>
    <w:pPr>
      <w:spacing w:line="360" w:lineRule="auto"/>
      <w:ind w:firstLine="1044" w:firstLineChars="200"/>
      <w:jc w:val="left"/>
    </w:pPr>
    <w:rPr>
      <w:rFonts w:ascii="宋体" w:hAnsi="宋体"/>
      <w:kern w:val="0"/>
      <w:sz w:val="24"/>
      <w:szCs w:val="20"/>
    </w:rPr>
  </w:style>
  <w:style w:type="paragraph" w:customStyle="1" w:styleId="1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957</Words>
  <Characters>979</Characters>
  <Lines>0</Lines>
  <Paragraphs>0</Paragraphs>
  <TotalTime>32</TotalTime>
  <ScaleCrop>false</ScaleCrop>
  <LinksUpToDate>false</LinksUpToDate>
  <CharactersWithSpaces>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2026-10-21T23:02:00Z</dcterms:created>
  <dc:creator>小小跳 </dc:creator>
  <cp:lastModifiedBy>Administrator</cp:lastModifiedBy>
  <dcterms:modified xsi:type="dcterms:W3CDTF">2026-10-26T07:16:52Z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03EB08E58050497BB70E790AC4A3401D_13</vt:lpwstr>
  </property>
  <property fmtid="{D5CDD505-2E9C-101B-9397-08002B2CF9AE}" pid="4" name="KSOTemplateDocerSaveRecord">
    <vt:lpwstr>eyJoZGlkIjoiMzRkYTRhMTVjMzgzMTQxZDk3NDc3ZGRjZDY3YWVhYTIiLCJ1c2VySWQiOiIzMzU3MDAyMzYifQ==</vt:lpwstr>
  </property>
</Properties>
</file>