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9A7C2">
      <w:pPr>
        <w:jc w:val="center"/>
        <w:rPr>
          <w:rFonts w:hint="default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/>
        </w:rPr>
        <w:t>广元市中心医院数字化产科管理系统采购项目建设需求</w:t>
      </w:r>
    </w:p>
    <w:p w14:paraId="3DEA8E34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6465"/>
      </w:tblGrid>
      <w:tr w14:paraId="1D26B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201" w:type="dxa"/>
            <w:shd w:val="clear" w:color="auto" w:fill="auto"/>
            <w:noWrap/>
            <w:vAlign w:val="center"/>
          </w:tcPr>
          <w:p w14:paraId="54F41A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功能模块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413455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功能参数</w:t>
            </w:r>
          </w:p>
        </w:tc>
      </w:tr>
      <w:tr w14:paraId="7326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  <w:jc w:val="center"/>
        </w:trPr>
        <w:tc>
          <w:tcPr>
            <w:tcW w:w="1201" w:type="dxa"/>
            <w:shd w:val="clear" w:color="auto" w:fill="auto"/>
            <w:vAlign w:val="center"/>
          </w:tcPr>
          <w:p w14:paraId="212D18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一、产科门诊管理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1B595F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★1.支持孕妇建档管理，包含孕妇基本信息、丈夫基本信息、高危信息、月经史、家族史、既往史、当前状况、孕产史、体格检查、妇科检查等信息，支持档案的新增、修改、删除、打印等功能。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★2.支持五色高危分级管理（采用国家最新标准），支持在整个妊娠期进行动态管理。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▲3.支持预产期矫正，可根据末次月经推算建档孕周，或根据孕周推算末次月经。支持根据末次月经和当前日期自动计算并生成现孕周，支持在产检记录中自动更新。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4.支持首次产检管理，以结构化电子病历方式采集，支持预览及打印。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★5.支持复次产检管理，支持录入每次复检记录，支持预约下次产检时间。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▲6.支持产检数据自动提取：在开放接口的情况下，系统支持自动从终端设备、LIS、PACS等获取检查数据。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▲7.支持门诊产检数据采集，当前支持手动录入身高、体重、血压等数据，数据自动同步至产检记录。预留智能测量设备数据接口，未来采购相关设备后可实现自助采集和数据自动同步。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8.支持BMI曲线图、胎儿生长发育曲线图、宫高曲线图自动生成，支持曲线图打印。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9.支持产后42天健康检查记录，包含健康状态、心理状况、产科检查等项目。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10.支持建档前病历记录，包含体检记录、产科检查、既往史、病史等。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11.支持知情同意书管理，包含产前筛查宣传告知书、高危妊娠风险评估表、产前超声检查知情同意书等。当前支持打印后手工签字，预留签批板、触控笔等电子签名设备接口，未来采购相关设备后可实现电子签名。</w:t>
            </w:r>
          </w:p>
        </w:tc>
      </w:tr>
      <w:tr w14:paraId="26ACA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201" w:type="dxa"/>
            <w:shd w:val="clear" w:color="auto" w:fill="auto"/>
            <w:vAlign w:val="center"/>
          </w:tcPr>
          <w:p w14:paraId="0C54B0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二、高危与专案管理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615E57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★12.支持高危识别，根据产检中妊娠风险分级评估结果确定孕产妇高危级别，按五色分级管理，支持根据产检结果自动勾选高危因素并进行评分。</w:t>
            </w:r>
          </w:p>
          <w:p w14:paraId="3993A5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★13.支持高危预警，根据孕产妇产检记录警示异常指标、指标变化及高危因素变化。</w:t>
            </w:r>
          </w:p>
          <w:p w14:paraId="0C11E3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▲14.支持高危时间轴管理，根据孕产妇不同阶段记录的高危因素自动生成高危时间轴，形成高危孕产妇闭环管理。</w:t>
            </w:r>
          </w:p>
          <w:p w14:paraId="63D4A4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▲15.支持糖尿病管理专案，根据产检信息自动识别并纳入专案管理，支持结案提醒。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 16.支持营养专案管理，对营养不良患者制定膳食管理方案。</w:t>
            </w:r>
          </w:p>
          <w:p w14:paraId="181CCB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▲17.支持胎儿生长受限专案管理，根据超声记录形成记录列表。</w:t>
            </w:r>
          </w:p>
          <w:p w14:paraId="53847A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★18.支持孕期三病（艾滋病、梅毒、乙肝）检测管理，包含孕期咨询、检测及结果记录。</w:t>
            </w:r>
          </w:p>
          <w:p w14:paraId="652498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  19.支持三级干预管理，对唐筛、NT、OGTT、彩超等质控要求项目进行信息采集，自动生成统计报表。</w:t>
            </w:r>
          </w:p>
          <w:p w14:paraId="793F32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  20.支持唐筛个案管理，包含孕早期、孕中期、产前诊断等结果信息登记。</w:t>
            </w:r>
          </w:p>
          <w:p w14:paraId="4732C5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▲21.支持VTE风险评估，建立VTE风险评估档案，对孕妇进行产前、产后风险评估。</w:t>
            </w:r>
          </w:p>
        </w:tc>
      </w:tr>
      <w:tr w14:paraId="347B9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jc w:val="center"/>
        </w:trPr>
        <w:tc>
          <w:tcPr>
            <w:tcW w:w="1201" w:type="dxa"/>
            <w:shd w:val="clear" w:color="auto" w:fill="auto"/>
            <w:noWrap/>
            <w:vAlign w:val="center"/>
          </w:tcPr>
          <w:p w14:paraId="27503B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三、住院分娩管理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29C70D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22.支持病房床位一览管理，整合病区、床位、产妇信息，以卡片形式展示各床位产妇的护理级别、分娩情况、高危等级。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▲23.支持孕妇全息视图，一体化整合孕产妇在建档后的全部信息，含历次妊娠基本信息、首检信息、复检信息、高危因素、高危随访、BMI曲线图、宫高曲线图、胎儿生长发育曲线图、检验报告、超声报告、追访管理、分娩记录、剖宫产记录、新生儿记录、产程图等。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 24.支持待产记录管理，结构化录入界面，支持打印待产记录单。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 25.支持临产记录管理，结构化录入界面，支持打印临产记录单。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 26.支持催产素记录管理，记录使用催产素后的宫缩、宫口等情况，支持打印催产素点滴记录。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 27.支持产房交接记录单，记录孕妇从入产房到出产房的病历资料、告知书、身体状况、用药情况等。</w:t>
            </w:r>
          </w:p>
          <w:p w14:paraId="3743DA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 28.支持头位产程图管理，以曲线形式记录宫颈扩张和胎头下降的相应关系，同时观察宫缩及胎心变化。</w:t>
            </w:r>
          </w:p>
          <w:p w14:paraId="036A41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★29.支持分娩记录管理，结构化录入界面，支持打印顺产分娩记录单。</w:t>
            </w:r>
          </w:p>
          <w:p w14:paraId="1A94B2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 30.支持剖宫产记录管理，结构化录入界面，支持打印剖宫产分娩记录单。</w:t>
            </w:r>
          </w:p>
          <w:p w14:paraId="5D2F62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 31.支持手术器械清点单管理，对手术器械进行记录。</w:t>
            </w:r>
          </w:p>
          <w:p w14:paraId="1A2C86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★32.支持新生儿记录管理，结构化录入界面，支持打印新生儿出生记录单。</w:t>
            </w:r>
          </w:p>
          <w:p w14:paraId="78F278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 33.支持新生儿交接记录管理，支持打印新生儿交接记录单。</w:t>
            </w:r>
          </w:p>
          <w:p w14:paraId="28E975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 34.支持第四产程产后记录管理，对产后2小时身体状况进行记录，支持打印记录单。</w:t>
            </w:r>
          </w:p>
          <w:p w14:paraId="6A7E6F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 35.支持出生医学证明首次签发表管理，支持打印。</w:t>
            </w:r>
          </w:p>
          <w:p w14:paraId="4698A8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 36.支持产后出血风险预测评分表，针对产后出血进行评分记录与预测分析。</w:t>
            </w:r>
          </w:p>
        </w:tc>
      </w:tr>
      <w:tr w14:paraId="0D48B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201" w:type="dxa"/>
            <w:shd w:val="clear" w:color="auto" w:fill="auto"/>
            <w:noWrap/>
            <w:vAlign w:val="center"/>
          </w:tcPr>
          <w:p w14:paraId="755A5A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四、预防艾梅乙母婴传播报表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61D36B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★37.按国家相关规范要求，支持预防艾梅乙母婴传播全套个案卡数据采集与上报，含艾滋病感染妇女基本情况（2-I）、艾滋病感染妇女妊娠及所生婴儿情况（2-II）、艾滋病感染产妇及所生儿童随访情况（2-III）、梅毒感染孕产妇基本情况（3-I）、梅毒感染孕产妇及所生新生儿情况（3-II）、梅毒感染产妇所生儿童随访情况（3-III）、乙肝感染孕产妇及所生新生儿个案登记卡（4-I）、乙肝感染产妇所生婴儿随访卡（4-II）</w:t>
            </w:r>
          </w:p>
        </w:tc>
      </w:tr>
      <w:tr w14:paraId="432B6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201" w:type="dxa"/>
            <w:shd w:val="clear" w:color="auto" w:fill="auto"/>
            <w:noWrap/>
            <w:vAlign w:val="center"/>
          </w:tcPr>
          <w:p w14:paraId="118307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五、智能提醒与追访管理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721156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38.支持预约建档、产检预约自动提醒，根据孕产妇建档时间及产检预约时间自动发送提醒。</w:t>
            </w:r>
          </w:p>
          <w:p w14:paraId="305DCE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39.支持孕期定期产检提醒（含3-4月、5月、孕晚期等阶段），根据孕周自动推送产检内容及注意事项</w:t>
            </w:r>
            <w:r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。</w:t>
            </w:r>
          </w:p>
          <w:p w14:paraId="0F508F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▲40.支持围产期追访，含孕期高危妊娠追访、符合分娩孕周追访、未到院分娩追访、复诊未到追访等</w:t>
            </w:r>
            <w:r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。</w:t>
            </w:r>
          </w:p>
          <w:p w14:paraId="69C69B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▲41.支持产后康复追访，含产后未到院复查追访、产后异常访视追访、新生儿异常访视追访、产后盆底阳性追访等</w:t>
            </w:r>
            <w:r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。</w:t>
            </w:r>
          </w:p>
        </w:tc>
      </w:tr>
      <w:tr w14:paraId="776C9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201" w:type="dxa"/>
            <w:shd w:val="clear" w:color="auto" w:fill="auto"/>
            <w:noWrap/>
            <w:vAlign w:val="center"/>
          </w:tcPr>
          <w:p w14:paraId="2AAB08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六、统计管理与监控中心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5DB3B5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▲42.支持智慧产科监控中心，含门诊+住院数据动态汇总监控，支持产科大屏集中实时展现产科数据。</w:t>
            </w:r>
          </w:p>
          <w:p w14:paraId="52A5DF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43.支持门诊统计管理，包含建卡信息统计、产检回访量统计、高危建档统计、艾乙梅检测统计、三级干预统计、唐筛个案统计、产检登记本等统计报表。</w:t>
            </w:r>
          </w:p>
          <w:p w14:paraId="69F460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44.支持住院统计管理，包含接生登记本统计、分娩信息上报统计（支持CSV格式导出）、筛查登记本统计、围产儿季报表、围产儿死亡登记卡、孕产妇死亡登记卡、出生缺陷儿登记卡、年度分娩情况汇总统计、住院分娩月报表/季报表、产后15天随访管理报表等。</w:t>
            </w:r>
          </w:p>
        </w:tc>
      </w:tr>
      <w:tr w14:paraId="63C41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201" w:type="dxa"/>
            <w:shd w:val="clear" w:color="auto" w:fill="auto"/>
            <w:noWrap/>
            <w:vAlign w:val="center"/>
          </w:tcPr>
          <w:p w14:paraId="2ED07B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七、移动端管理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7EB915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▲45.支持孕妇微信预约建档，填写基础信息一键导入，快速完成建档。</w:t>
            </w:r>
          </w:p>
        </w:tc>
      </w:tr>
      <w:tr w14:paraId="61D1C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201" w:type="dxa"/>
            <w:shd w:val="clear" w:color="auto" w:fill="auto"/>
            <w:noWrap/>
            <w:vAlign w:val="center"/>
          </w:tcPr>
          <w:p w14:paraId="11197F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6465" w:type="dxa"/>
            <w:shd w:val="clear" w:color="auto" w:fill="auto"/>
            <w:vAlign w:val="center"/>
          </w:tcPr>
          <w:p w14:paraId="144604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46.支持孕妇通过手机端查询历次产检记录。</w:t>
            </w:r>
          </w:p>
          <w:p w14:paraId="0465F1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47.支持孕妇通过手机端进行门诊宣教内容学习，支持视频或图文方式。</w:t>
            </w:r>
          </w:p>
          <w:p w14:paraId="30409F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▲48.根据孕妇实际孕周，系统自动推送符合本孕周的产检提醒、检查项目、注意事项等关心提醒。</w:t>
            </w:r>
          </w:p>
        </w:tc>
      </w:tr>
      <w:tr w14:paraId="3E0E3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201" w:type="dxa"/>
            <w:shd w:val="clear" w:color="auto" w:fill="auto"/>
            <w:noWrap/>
            <w:vAlign w:val="center"/>
          </w:tcPr>
          <w:p w14:paraId="598AA0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八、接口及系统管理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59CCCA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★49. 接口要求：系统须与采购人现有HIS系统、LIS系统、PACS系统、超声科预约系统、微信公众号实现数据互通，获取挂号信息、身份信息、检验结果、影像检查结果等。系统支持自动提取采购人需上报的数据，支持自动推送至指定平台。根据采购人需求自定义数据提取，以及上报平台数据自动提取。</w:t>
            </w:r>
          </w:p>
          <w:p w14:paraId="6C38E5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▲50.跨院数据查看： 如条件允许，支持查看其他医院患者的历史就诊数据。该功能依托省级妇幼平台等上级管理平台实现，如平台不具备条件，供应商须预留标准接口，待条件具备后配合完成对接。</w:t>
            </w:r>
          </w:p>
          <w:p w14:paraId="3E110F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▲51.支持对接接收第三方远程胎监数据，远程胎监数据实时自动录入系统并伴有预警。</w:t>
            </w:r>
          </w:p>
          <w:p w14:paraId="35EB4F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52.支持用户管理、角色管理、权限管理，支持功能权限和操作权限分开设置。</w:t>
            </w:r>
          </w:p>
          <w:p w14:paraId="662901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★53.表单及报表配置化：支持门诊表单、住院表单、统计报表、打印模板的配置化，在线发布后同步更新。支持自定义表单设计器，可制作产科门诊及住院所需各类表单、量表、同意书、检查记录单等，包括但不限于PHQ-9抑郁筛查量表、抑郁筛查管理服务知情同意书、产前检查记录、风险评估、健康宣传告知书等。当前支持打印后手工签字，预留手签板、触控笔等电子签名设备接口。</w:t>
            </w:r>
          </w:p>
        </w:tc>
      </w:tr>
      <w:tr w14:paraId="5F135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0" w:hRule="atLeast"/>
          <w:jc w:val="center"/>
        </w:trPr>
        <w:tc>
          <w:tcPr>
            <w:tcW w:w="1201" w:type="dxa"/>
            <w:shd w:val="clear" w:color="auto" w:fill="auto"/>
            <w:noWrap/>
            <w:vAlign w:val="center"/>
          </w:tcPr>
          <w:p w14:paraId="38BDAF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九、其他服务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6846E0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★54.安装部署服务：供应商负责系统的安装、部署、调试及上线运行，确保系统正常运行。</w:t>
            </w:r>
          </w:p>
          <w:p w14:paraId="36B749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55.系统部署期间，供应商须制定详细实施方案，确保采购人业务正常运行；需要停机或重启服务的操作，须提前告知采购人，并安排在业务低峰期进行。</w:t>
            </w:r>
          </w:p>
          <w:p w14:paraId="13E235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56.培训服务：系统上线后，供应商须对采购人相关操作人员进行现场操作培训，培训内容包括系统日常操作、数据录入规范、统计报表生成等；通过培训，确保采购人相关操作人员培训后能够独立完成系统日常操作。</w:t>
            </w:r>
          </w:p>
          <w:p w14:paraId="26F8F7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★57. 提供不少于2年质保服务，质保期内免费提供系统故障修复、软件升级及技术支持服务。</w:t>
            </w:r>
          </w:p>
          <w:p w14:paraId="3873A3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▲58.提供7×24小时技术支持服务，电话响应≤30分钟；远程无法解决时，48小时内到达现场。</w:t>
            </w:r>
          </w:p>
          <w:p w14:paraId="51DDAF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▲59.系统故障导致无法正常使用时，须在8小时内恢复系统正常运行；一般故障须在48小时内解决。对于系统级故障、重大安全事件或采购人认为需要报告的故障，供应商须在故障处理完毕后提交《故障处理报告》，报告内容包括但不限于：故障现象、故障原因分析、处理过程及结果、预防措施建议等。因供应商原因（如系统缺陷、配置错误、升级失误等）导致的故障，无论大小，供应商均须提交报告并说明根本原因及改进措施。</w:t>
            </w:r>
          </w:p>
          <w:p w14:paraId="79F6BD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★60.数据安全要求：系统涉及孕产妇个人隐私及医疗健康数据，中标人须在系统设计、开发、部署及运维全过程中落实数据安全保护措施，包括但不限于数据传输加密、存储加密、访问控制、操作审计日志等。中标人须与采购人签订《数据安全与保密协议》，对系统运行过程中接触到的孕产妇信息、诊疗数据等严格保密，不得用于本项目以外的任何用途。因中标人原因导致数据泄露或信息安全事件的，中标人须承担相应的法律责任。</w:t>
            </w:r>
          </w:p>
          <w:p w14:paraId="68A64D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★61.接口费用：涉及与采购人现有系统（含HIS、LIS、PACS、超声科预约系统、微信公众号等）及省妇幼平台等上级管理平台的接口开发、联调、测试等全部费用由中标人承担，采购人不再另行支付。</w:t>
            </w:r>
          </w:p>
          <w:p w14:paraId="4B6BA3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62.其他要求：报价须包含全部软件授权费、安装部署费、培训费、不少于2年质保服务费及税费等所有费用，采购人不再另行支付。 </w:t>
            </w:r>
          </w:p>
        </w:tc>
      </w:tr>
    </w:tbl>
    <w:p w14:paraId="1ECDA8F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51C0E587-7BC5-47DC-BA32-BCE41EF8C2D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B9481C"/>
    <w:rsid w:val="020D1559"/>
    <w:rsid w:val="125D0492"/>
    <w:rsid w:val="19E11104"/>
    <w:rsid w:val="29B9481C"/>
    <w:rsid w:val="3D7242CB"/>
    <w:rsid w:val="40443DD6"/>
    <w:rsid w:val="469E0050"/>
    <w:rsid w:val="47426DF8"/>
    <w:rsid w:val="4B7859A5"/>
    <w:rsid w:val="57620EAA"/>
    <w:rsid w:val="5F487ACD"/>
    <w:rsid w:val="70E97DF6"/>
    <w:rsid w:val="7496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3667</Words>
  <Characters>3850</Characters>
  <Lines>0</Lines>
  <Paragraphs>0</Paragraphs>
  <TotalTime>0</TotalTime>
  <ScaleCrop>false</ScaleCrop>
  <LinksUpToDate>false</LinksUpToDate>
  <CharactersWithSpaces>3919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2026-09-09T09:52:00Z</dcterms:created>
  <dc:creator>严梦</dc:creator>
  <cp:lastModifiedBy>严梦</cp:lastModifiedBy>
  <dcterms:modified xsi:type="dcterms:W3CDTF">2026-10-15T00:25:07Z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4B1B7B5FAB764B96BB3739AA1379A44C_11</vt:lpwstr>
  </property>
  <property fmtid="{D5CDD505-2E9C-101B-9397-08002B2CF9AE}" pid="4" name="KSOTemplateDocerSaveRecord">
    <vt:lpwstr>eyJoZGlkIjoiN2IwMmVmZTBjZjZkM2M1NWM3NTZhNzg2MTJkMmRjZDkiLCJ1c2VySWQiOiIxNzAzMzE3OTU1In0=</vt:lpwstr>
  </property>
</Properties>
</file>