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CD29A3">
      <w:pPr>
        <w:spacing w:before="60" w:after="60" w:line="240" w:lineRule="atLeast"/>
        <w:jc w:val="center"/>
        <w:rPr>
          <w:rFonts w:hint="eastAsia" w:ascii="仿宋" w:hAnsi="仿宋" w:eastAsia="仿宋" w:cs="仿宋"/>
          <w:b/>
          <w:bCs/>
          <w:color w:val="000000" w:themeColor="text1"/>
          <w:sz w:val="44"/>
          <w:szCs w:val="44"/>
          <w:lang w:bidi="en-US"/>
          <w14:textFill>
            <w14:solidFill>
              <w14:schemeClr w14:val="tx1"/>
            </w14:solidFill>
          </w14:textFill>
        </w:rPr>
      </w:pPr>
      <w:r>
        <w:rPr>
          <w:rFonts w:hint="eastAsia" w:ascii="仿宋" w:hAnsi="仿宋" w:eastAsia="仿宋" w:cs="仿宋"/>
          <w:b/>
          <w:bCs/>
          <w:color w:val="000000" w:themeColor="text1"/>
          <w:sz w:val="44"/>
          <w:szCs w:val="44"/>
          <w:lang w:bidi="en-US"/>
          <w14:textFill>
            <w14:solidFill>
              <w14:schemeClr w14:val="tx1"/>
            </w14:solidFill>
          </w14:textFill>
        </w:rPr>
        <w:t>神经外科移动护理设备专项采购项目建设要求</w:t>
      </w:r>
    </w:p>
    <w:p w14:paraId="157C0814"/>
    <w:p w14:paraId="024F6715">
      <w:pPr>
        <w:pStyle w:val="7"/>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Chars="0"/>
        <w:textAlignment w:val="auto"/>
        <w:rPr>
          <w:rFonts w:hint="eastAsia" w:ascii="楷体_GB2312" w:eastAsia="楷体_GB2312" w:hAnsiTheme="minorHAnsi" w:cstheme="minorBidi"/>
          <w:kern w:val="2"/>
          <w:sz w:val="32"/>
          <w:szCs w:val="32"/>
          <w:lang w:val="en-US" w:eastAsia="zh-CN" w:bidi="ar-SA"/>
        </w:rPr>
      </w:pPr>
      <w:r>
        <w:rPr>
          <w:rFonts w:hint="eastAsia" w:ascii="楷体_GB2312" w:eastAsia="楷体_GB2312" w:cstheme="minorBidi"/>
          <w:kern w:val="2"/>
          <w:sz w:val="32"/>
          <w:szCs w:val="32"/>
          <w:lang w:val="en-US" w:eastAsia="zh-CN" w:bidi="ar-SA"/>
        </w:rPr>
        <w:t>采购</w:t>
      </w:r>
      <w:r>
        <w:rPr>
          <w:rFonts w:hint="eastAsia" w:ascii="楷体_GB2312" w:eastAsia="楷体_GB2312" w:hAnsiTheme="minorHAnsi" w:cstheme="minorBidi"/>
          <w:kern w:val="2"/>
          <w:sz w:val="32"/>
          <w:szCs w:val="32"/>
          <w:lang w:val="en-US" w:eastAsia="zh-CN" w:bidi="ar-SA"/>
        </w:rPr>
        <w:t>数量：</w:t>
      </w:r>
    </w:p>
    <w:p w14:paraId="0CF1F5E5">
      <w:pPr>
        <w:pStyle w:val="7"/>
        <w:numPr>
          <w:ilvl w:val="0"/>
          <w:numId w:val="2"/>
        </w:numPr>
        <w:spacing w:line="540" w:lineRule="exact"/>
        <w:ind w:firstLine="640" w:firstLineChars="200"/>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5G移动护理终端(PDA)： 6台；</w:t>
      </w:r>
    </w:p>
    <w:p w14:paraId="6000E7C0">
      <w:pPr>
        <w:pStyle w:val="7"/>
        <w:numPr>
          <w:ilvl w:val="0"/>
          <w:numId w:val="3"/>
        </w:numPr>
        <w:spacing w:line="540" w:lineRule="exact"/>
        <w:ind w:firstLine="640" w:firstLineChars="200"/>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移动护理车： 2台。</w:t>
      </w:r>
    </w:p>
    <w:p w14:paraId="397CB432">
      <w:pPr>
        <w:pStyle w:val="7"/>
        <w:numPr>
          <w:ilvl w:val="0"/>
          <w:numId w:val="1"/>
        </w:numPr>
        <w:spacing w:line="540" w:lineRule="exact"/>
        <w:ind w:firstLineChars="0"/>
        <w:rPr>
          <w:rFonts w:hint="default" w:ascii="方正仿宋_GB2312" w:hAnsi="方正仿宋_GB2312" w:eastAsia="方正仿宋_GB2312" w:cs="方正仿宋_GB2312"/>
          <w:color w:val="auto"/>
          <w:kern w:val="0"/>
          <w:sz w:val="32"/>
          <w:szCs w:val="32"/>
          <w:highlight w:val="none"/>
          <w:lang w:val="en-US" w:eastAsia="zh-CN" w:bidi="ar-SA"/>
        </w:rPr>
      </w:pPr>
      <w:r>
        <w:rPr>
          <w:rFonts w:hint="eastAsia" w:ascii="楷体_GB2312" w:eastAsia="楷体_GB2312" w:hAnsiTheme="minorHAnsi" w:cstheme="minorBidi"/>
          <w:kern w:val="2"/>
          <w:sz w:val="32"/>
          <w:szCs w:val="32"/>
          <w:lang w:val="en-US" w:eastAsia="zh-CN" w:bidi="ar-SA"/>
        </w:rPr>
        <w:t>基本参数：</w:t>
      </w:r>
    </w:p>
    <w:p w14:paraId="2ED16E17">
      <w:pPr>
        <w:pStyle w:val="7"/>
        <w:numPr>
          <w:ilvl w:val="0"/>
          <w:numId w:val="4"/>
        </w:numPr>
        <w:spacing w:line="540" w:lineRule="exact"/>
        <w:ind w:leftChars="0" w:firstLine="640" w:firstLineChars="200"/>
        <w:rPr>
          <w:rFonts w:hint="default"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5G移动护理终端(PDA)</w:t>
      </w:r>
    </w:p>
    <w:tbl>
      <w:tblPr>
        <w:tblStyle w:val="5"/>
        <w:tblW w:w="9900" w:type="dxa"/>
        <w:tblInd w:w="-8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739"/>
        <w:gridCol w:w="7475"/>
      </w:tblGrid>
      <w:tr w14:paraId="3775E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86" w:type="dxa"/>
            <w:vAlign w:val="center"/>
          </w:tcPr>
          <w:p w14:paraId="0916125A">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序号</w:t>
            </w:r>
          </w:p>
        </w:tc>
        <w:tc>
          <w:tcPr>
            <w:tcW w:w="1739" w:type="dxa"/>
            <w:vAlign w:val="center"/>
          </w:tcPr>
          <w:p w14:paraId="0E43115F">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指标项</w:t>
            </w:r>
          </w:p>
        </w:tc>
        <w:tc>
          <w:tcPr>
            <w:tcW w:w="7475" w:type="dxa"/>
            <w:vAlign w:val="center"/>
          </w:tcPr>
          <w:p w14:paraId="62C074DB">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技术规格</w:t>
            </w:r>
          </w:p>
        </w:tc>
      </w:tr>
      <w:tr w14:paraId="4059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86" w:type="dxa"/>
            <w:vAlign w:val="center"/>
          </w:tcPr>
          <w:p w14:paraId="2546A494">
            <w:pPr>
              <w:adjustRightInd w:val="0"/>
              <w:snapToGrid w:val="0"/>
              <w:rPr>
                <w:rFonts w:hint="eastAsia" w:ascii="微软雅黑" w:hAnsi="微软雅黑" w:eastAsia="微软雅黑"/>
                <w:sz w:val="20"/>
                <w:szCs w:val="20"/>
                <w:lang w:eastAsia="zh-CN"/>
              </w:rPr>
            </w:pPr>
            <w:r>
              <w:rPr>
                <w:rFonts w:hint="eastAsia" w:ascii="微软雅黑" w:hAnsi="微软雅黑" w:eastAsia="微软雅黑"/>
                <w:sz w:val="20"/>
                <w:szCs w:val="20"/>
                <w:lang w:val="en-US" w:eastAsia="zh-CN"/>
              </w:rPr>
              <w:t>1</w:t>
            </w:r>
          </w:p>
        </w:tc>
        <w:tc>
          <w:tcPr>
            <w:tcW w:w="1739" w:type="dxa"/>
            <w:vAlign w:val="center"/>
          </w:tcPr>
          <w:p w14:paraId="7567D5CF">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操作系统</w:t>
            </w:r>
          </w:p>
        </w:tc>
        <w:tc>
          <w:tcPr>
            <w:tcW w:w="7475" w:type="dxa"/>
            <w:vAlign w:val="center"/>
          </w:tcPr>
          <w:p w14:paraId="3BA5F16F">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Android 1</w:t>
            </w:r>
            <w:r>
              <w:rPr>
                <w:rFonts w:hint="eastAsia" w:ascii="微软雅黑" w:hAnsi="微软雅黑" w:eastAsia="微软雅黑"/>
                <w:sz w:val="20"/>
                <w:szCs w:val="20"/>
                <w:lang w:val="en-US" w:eastAsia="zh-CN"/>
              </w:rPr>
              <w:t>4</w:t>
            </w:r>
            <w:r>
              <w:rPr>
                <w:rFonts w:hint="eastAsia" w:ascii="微软雅黑" w:hAnsi="微软雅黑" w:eastAsia="微软雅黑"/>
                <w:sz w:val="20"/>
                <w:szCs w:val="20"/>
              </w:rPr>
              <w:t>及以上</w:t>
            </w:r>
          </w:p>
        </w:tc>
      </w:tr>
      <w:tr w14:paraId="14F1E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86" w:type="dxa"/>
            <w:vAlign w:val="center"/>
          </w:tcPr>
          <w:p w14:paraId="5D3526B5">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lang w:val="en-US" w:eastAsia="zh-CN"/>
              </w:rPr>
              <w:t>2</w:t>
            </w:r>
          </w:p>
        </w:tc>
        <w:tc>
          <w:tcPr>
            <w:tcW w:w="1739" w:type="dxa"/>
            <w:vAlign w:val="center"/>
          </w:tcPr>
          <w:p w14:paraId="5BF44BAD">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CPU</w:t>
            </w:r>
          </w:p>
        </w:tc>
        <w:tc>
          <w:tcPr>
            <w:tcW w:w="7475" w:type="dxa"/>
            <w:vAlign w:val="center"/>
          </w:tcPr>
          <w:p w14:paraId="61747E65">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八核处理器、主频≥2.6GHz</w:t>
            </w:r>
          </w:p>
        </w:tc>
      </w:tr>
      <w:tr w14:paraId="065DF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86" w:type="dxa"/>
            <w:vAlign w:val="center"/>
          </w:tcPr>
          <w:p w14:paraId="2FD212F5">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3</w:t>
            </w:r>
          </w:p>
        </w:tc>
        <w:tc>
          <w:tcPr>
            <w:tcW w:w="1739" w:type="dxa"/>
            <w:vAlign w:val="center"/>
          </w:tcPr>
          <w:p w14:paraId="6489C98E">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存储</w:t>
            </w:r>
          </w:p>
        </w:tc>
        <w:tc>
          <w:tcPr>
            <w:tcW w:w="7475" w:type="dxa"/>
            <w:vAlign w:val="center"/>
          </w:tcPr>
          <w:p w14:paraId="1D1AEDC5">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≥4GB RAM+64GB ROM，支持SD卡扩展至256G ROM</w:t>
            </w:r>
          </w:p>
        </w:tc>
      </w:tr>
      <w:tr w14:paraId="030F2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86" w:type="dxa"/>
            <w:vAlign w:val="center"/>
          </w:tcPr>
          <w:p w14:paraId="4C5ECDF7">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4</w:t>
            </w:r>
          </w:p>
        </w:tc>
        <w:tc>
          <w:tcPr>
            <w:tcW w:w="1739" w:type="dxa"/>
            <w:vAlign w:val="center"/>
          </w:tcPr>
          <w:p w14:paraId="238EA4B5">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电池及安装</w:t>
            </w:r>
          </w:p>
        </w:tc>
        <w:tc>
          <w:tcPr>
            <w:tcW w:w="7475" w:type="dxa"/>
            <w:vAlign w:val="center"/>
          </w:tcPr>
          <w:p w14:paraId="36A4891F">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≥4900mAh，电池可一键拆卸并更换，无需任何辅助工具，确保后期维护和安装更换方便（实物照片展示）。</w:t>
            </w:r>
          </w:p>
        </w:tc>
      </w:tr>
      <w:tr w14:paraId="4CBE9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686" w:type="dxa"/>
            <w:vAlign w:val="center"/>
          </w:tcPr>
          <w:p w14:paraId="5500726D">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5</w:t>
            </w:r>
          </w:p>
        </w:tc>
        <w:tc>
          <w:tcPr>
            <w:tcW w:w="1739" w:type="dxa"/>
            <w:vAlign w:val="center"/>
          </w:tcPr>
          <w:p w14:paraId="1542EC28">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电池相关认证</w:t>
            </w:r>
          </w:p>
        </w:tc>
        <w:tc>
          <w:tcPr>
            <w:tcW w:w="7475" w:type="dxa"/>
            <w:vAlign w:val="center"/>
          </w:tcPr>
          <w:p w14:paraId="1F50E8F3">
            <w:pPr>
              <w:adjustRightInd w:val="0"/>
              <w:snapToGrid w:val="0"/>
              <w:rPr>
                <w:rFonts w:hint="eastAsia" w:ascii="微软雅黑" w:hAnsi="微软雅黑" w:eastAsia="微软雅黑"/>
                <w:sz w:val="20"/>
                <w:szCs w:val="20"/>
                <w:lang w:eastAsia="zh-CN"/>
              </w:rPr>
            </w:pPr>
            <w:r>
              <w:rPr>
                <w:rFonts w:hint="eastAsia" w:ascii="微软雅黑" w:hAnsi="微软雅黑" w:eastAsia="微软雅黑"/>
                <w:sz w:val="20"/>
                <w:szCs w:val="20"/>
              </w:rPr>
              <w:t>通过电池</w:t>
            </w:r>
            <w:r>
              <w:rPr>
                <w:rFonts w:hint="eastAsia" w:ascii="微软雅黑" w:hAnsi="微软雅黑" w:eastAsia="微软雅黑"/>
                <w:sz w:val="20"/>
                <w:szCs w:val="20"/>
                <w:lang w:val="en-US" w:eastAsia="zh-CN"/>
              </w:rPr>
              <w:t>3C/</w:t>
            </w:r>
            <w:r>
              <w:rPr>
                <w:rFonts w:hint="eastAsia" w:ascii="微软雅黑" w:hAnsi="微软雅黑" w:eastAsia="微软雅黑"/>
                <w:sz w:val="20"/>
                <w:szCs w:val="20"/>
              </w:rPr>
              <w:t>CQC认证报告</w:t>
            </w:r>
            <w:r>
              <w:rPr>
                <w:rFonts w:hint="eastAsia" w:ascii="微软雅黑" w:hAnsi="微软雅黑" w:eastAsia="微软雅黑"/>
                <w:sz w:val="20"/>
                <w:szCs w:val="20"/>
                <w:lang w:eastAsia="zh-CN"/>
              </w:rPr>
              <w:t>。</w:t>
            </w:r>
          </w:p>
        </w:tc>
      </w:tr>
      <w:tr w14:paraId="3F36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86" w:type="dxa"/>
            <w:vAlign w:val="center"/>
          </w:tcPr>
          <w:p w14:paraId="555ADD2C">
            <w:pPr>
              <w:adjustRightInd w:val="0"/>
              <w:snapToGrid w:val="0"/>
              <w:rPr>
                <w:rFonts w:hint="eastAsia" w:ascii="微软雅黑" w:hAnsi="微软雅黑" w:eastAsia="微软雅黑"/>
                <w:sz w:val="20"/>
                <w:szCs w:val="20"/>
                <w:lang w:eastAsia="zh-CN"/>
              </w:rPr>
            </w:pPr>
            <w:r>
              <w:rPr>
                <w:rFonts w:hint="eastAsia" w:ascii="微软雅黑" w:hAnsi="微软雅黑" w:eastAsia="微软雅黑"/>
                <w:sz w:val="20"/>
                <w:szCs w:val="20"/>
                <w:lang w:val="en-US" w:eastAsia="zh-CN"/>
              </w:rPr>
              <w:t>6</w:t>
            </w:r>
          </w:p>
        </w:tc>
        <w:tc>
          <w:tcPr>
            <w:tcW w:w="1739" w:type="dxa"/>
            <w:vAlign w:val="center"/>
          </w:tcPr>
          <w:p w14:paraId="35EE8C1A">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显示屏</w:t>
            </w:r>
          </w:p>
        </w:tc>
        <w:tc>
          <w:tcPr>
            <w:tcW w:w="7475" w:type="dxa"/>
            <w:vAlign w:val="center"/>
          </w:tcPr>
          <w:p w14:paraId="27CF41F8">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w:t>
            </w:r>
            <w:r>
              <w:rPr>
                <w:rFonts w:hint="eastAsia" w:ascii="微软雅黑" w:hAnsi="微软雅黑" w:eastAsia="微软雅黑"/>
                <w:sz w:val="20"/>
                <w:szCs w:val="20"/>
                <w:lang w:val="en-US" w:eastAsia="zh-CN"/>
              </w:rPr>
              <w:t>5.9</w:t>
            </w:r>
            <w:r>
              <w:rPr>
                <w:rFonts w:hint="eastAsia" w:ascii="微软雅黑" w:hAnsi="微软雅黑" w:eastAsia="微软雅黑"/>
                <w:sz w:val="20"/>
                <w:szCs w:val="20"/>
              </w:rPr>
              <w:t>寸≤</w:t>
            </w:r>
            <w:r>
              <w:rPr>
                <w:rFonts w:hint="eastAsia" w:ascii="微软雅黑" w:hAnsi="微软雅黑" w:eastAsia="微软雅黑"/>
                <w:sz w:val="20"/>
                <w:szCs w:val="20"/>
                <w:lang w:val="en-US" w:eastAsia="zh-CN"/>
              </w:rPr>
              <w:t>6.3</w:t>
            </w:r>
            <w:r>
              <w:rPr>
                <w:rFonts w:hint="eastAsia" w:ascii="微软雅黑" w:hAnsi="微软雅黑" w:eastAsia="微软雅黑"/>
                <w:sz w:val="20"/>
                <w:szCs w:val="20"/>
              </w:rPr>
              <w:t>彩色1560X720多点触控屏，超明亮，阳光下可视。支持湿手和手套模式，耐摔耐划。</w:t>
            </w:r>
          </w:p>
        </w:tc>
      </w:tr>
      <w:tr w14:paraId="74CF7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86" w:type="dxa"/>
            <w:vAlign w:val="center"/>
          </w:tcPr>
          <w:p w14:paraId="517913F8">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7</w:t>
            </w:r>
          </w:p>
        </w:tc>
        <w:tc>
          <w:tcPr>
            <w:tcW w:w="1739" w:type="dxa"/>
            <w:vAlign w:val="center"/>
          </w:tcPr>
          <w:p w14:paraId="60F993A2">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外观尺寸</w:t>
            </w:r>
          </w:p>
        </w:tc>
        <w:tc>
          <w:tcPr>
            <w:tcW w:w="7475" w:type="dxa"/>
            <w:vAlign w:val="center"/>
          </w:tcPr>
          <w:p w14:paraId="5DCE04D1">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采用支持医用酒精及其他消毒剂擦拭消毒的医用白色抑菌外壳，长度≤165mm</w:t>
            </w:r>
            <w:r>
              <w:rPr>
                <w:rFonts w:hint="eastAsia" w:ascii="微软雅黑" w:hAnsi="微软雅黑" w:eastAsia="微软雅黑"/>
                <w:sz w:val="20"/>
                <w:szCs w:val="20"/>
                <w:lang w:val="en-US" w:eastAsia="zh-CN"/>
              </w:rPr>
              <w:t>(</w:t>
            </w:r>
            <w:r>
              <w:rPr>
                <w:rFonts w:hint="eastAsia" w:ascii="微软雅黑" w:hAnsi="微软雅黑" w:eastAsia="微软雅黑"/>
                <w:sz w:val="20"/>
                <w:szCs w:val="20"/>
              </w:rPr>
              <w:t>±</w:t>
            </w:r>
            <w:r>
              <w:rPr>
                <w:rFonts w:hint="eastAsia" w:ascii="微软雅黑" w:hAnsi="微软雅黑" w:eastAsia="微软雅黑"/>
                <w:sz w:val="20"/>
                <w:szCs w:val="20"/>
                <w:lang w:val="en-US" w:eastAsia="zh-CN"/>
              </w:rPr>
              <w:t>0.5mm)</w:t>
            </w:r>
            <w:r>
              <w:rPr>
                <w:rFonts w:hint="eastAsia" w:ascii="微软雅黑" w:hAnsi="微软雅黑" w:eastAsia="微软雅黑"/>
                <w:sz w:val="20"/>
                <w:szCs w:val="20"/>
              </w:rPr>
              <w:t>，宽度≤78mm</w:t>
            </w:r>
            <w:r>
              <w:rPr>
                <w:rFonts w:hint="eastAsia" w:ascii="微软雅黑" w:hAnsi="微软雅黑" w:eastAsia="微软雅黑"/>
                <w:sz w:val="20"/>
                <w:szCs w:val="20"/>
                <w:lang w:val="en-US" w:eastAsia="zh-CN"/>
              </w:rPr>
              <w:t>(</w:t>
            </w:r>
            <w:r>
              <w:rPr>
                <w:rFonts w:hint="eastAsia" w:ascii="微软雅黑" w:hAnsi="微软雅黑" w:eastAsia="微软雅黑"/>
                <w:sz w:val="20"/>
                <w:szCs w:val="20"/>
              </w:rPr>
              <w:t>±</w:t>
            </w:r>
            <w:r>
              <w:rPr>
                <w:rFonts w:hint="eastAsia" w:ascii="微软雅黑" w:hAnsi="微软雅黑" w:eastAsia="微软雅黑"/>
                <w:sz w:val="20"/>
                <w:szCs w:val="20"/>
                <w:lang w:val="en-US" w:eastAsia="zh-CN"/>
              </w:rPr>
              <w:t>0.5mm)</w:t>
            </w:r>
            <w:r>
              <w:rPr>
                <w:rFonts w:hint="eastAsia" w:ascii="微软雅黑" w:hAnsi="微软雅黑" w:eastAsia="微软雅黑"/>
                <w:sz w:val="20"/>
                <w:szCs w:val="20"/>
              </w:rPr>
              <w:t>，厚度≤15mm</w:t>
            </w:r>
            <w:r>
              <w:rPr>
                <w:rFonts w:hint="eastAsia" w:ascii="微软雅黑" w:hAnsi="微软雅黑" w:eastAsia="微软雅黑"/>
                <w:sz w:val="20"/>
                <w:szCs w:val="20"/>
                <w:lang w:val="en-US" w:eastAsia="zh-CN"/>
              </w:rPr>
              <w:t>(</w:t>
            </w:r>
            <w:r>
              <w:rPr>
                <w:rFonts w:hint="eastAsia" w:ascii="微软雅黑" w:hAnsi="微软雅黑" w:eastAsia="微软雅黑"/>
                <w:sz w:val="20"/>
                <w:szCs w:val="20"/>
              </w:rPr>
              <w:t>±</w:t>
            </w:r>
            <w:r>
              <w:rPr>
                <w:rFonts w:hint="eastAsia" w:ascii="微软雅黑" w:hAnsi="微软雅黑" w:eastAsia="微软雅黑"/>
                <w:sz w:val="20"/>
                <w:szCs w:val="20"/>
                <w:lang w:val="en-US" w:eastAsia="zh-CN"/>
              </w:rPr>
              <w:t>0.5mm)</w:t>
            </w:r>
            <w:r>
              <w:rPr>
                <w:rFonts w:hint="eastAsia" w:ascii="微软雅黑" w:hAnsi="微软雅黑" w:eastAsia="微软雅黑"/>
                <w:sz w:val="20"/>
                <w:szCs w:val="20"/>
              </w:rPr>
              <w:t>。正面要求无物理按键，便于清洁消毒和防水防尘，满足医疗环境日常使用。</w:t>
            </w:r>
          </w:p>
        </w:tc>
      </w:tr>
      <w:tr w14:paraId="1CEC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86" w:type="dxa"/>
            <w:vAlign w:val="center"/>
          </w:tcPr>
          <w:p w14:paraId="3F20177C">
            <w:pPr>
              <w:adjustRightInd w:val="0"/>
              <w:snapToGrid w:val="0"/>
              <w:rPr>
                <w:rFonts w:hint="eastAsia" w:ascii="微软雅黑" w:hAnsi="微软雅黑" w:eastAsia="微软雅黑"/>
                <w:sz w:val="20"/>
                <w:szCs w:val="20"/>
                <w:lang w:eastAsia="zh-CN"/>
              </w:rPr>
            </w:pPr>
            <w:r>
              <w:rPr>
                <w:rFonts w:hint="eastAsia" w:ascii="微软雅黑" w:hAnsi="微软雅黑" w:eastAsia="微软雅黑"/>
                <w:sz w:val="20"/>
                <w:szCs w:val="20"/>
                <w:lang w:val="en-US" w:eastAsia="zh-CN"/>
              </w:rPr>
              <w:t>8</w:t>
            </w:r>
          </w:p>
        </w:tc>
        <w:tc>
          <w:tcPr>
            <w:tcW w:w="1739" w:type="dxa"/>
            <w:vAlign w:val="center"/>
          </w:tcPr>
          <w:p w14:paraId="22BE5B35">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外壳材料</w:t>
            </w:r>
          </w:p>
        </w:tc>
        <w:tc>
          <w:tcPr>
            <w:tcW w:w="7475" w:type="dxa"/>
            <w:vAlign w:val="center"/>
          </w:tcPr>
          <w:p w14:paraId="71D5BEA8">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采用支持医用酒精及其他消毒剂擦拭消毒的医用白色抑菌外壳，可耐受医用酒精、过氧化氢、次氯酸钠等医院常用消毒剂（含屏幕部分）。</w:t>
            </w:r>
          </w:p>
        </w:tc>
      </w:tr>
      <w:tr w14:paraId="220E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86" w:type="dxa"/>
            <w:vAlign w:val="center"/>
          </w:tcPr>
          <w:p w14:paraId="03F928F6">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9</w:t>
            </w:r>
          </w:p>
        </w:tc>
        <w:tc>
          <w:tcPr>
            <w:tcW w:w="1739" w:type="dxa"/>
            <w:vAlign w:val="center"/>
          </w:tcPr>
          <w:p w14:paraId="5530B41B">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防腐（盐雾）认证</w:t>
            </w:r>
          </w:p>
        </w:tc>
        <w:tc>
          <w:tcPr>
            <w:tcW w:w="7475" w:type="dxa"/>
            <w:vAlign w:val="center"/>
          </w:tcPr>
          <w:p w14:paraId="5165D8B2">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投标产品通过防腐（盐雾）检测</w:t>
            </w:r>
          </w:p>
        </w:tc>
      </w:tr>
      <w:tr w14:paraId="0800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86" w:type="dxa"/>
            <w:vAlign w:val="center"/>
          </w:tcPr>
          <w:p w14:paraId="01BA4F0D">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10</w:t>
            </w:r>
          </w:p>
        </w:tc>
        <w:tc>
          <w:tcPr>
            <w:tcW w:w="1739" w:type="dxa"/>
            <w:vAlign w:val="center"/>
          </w:tcPr>
          <w:p w14:paraId="3EB8C16A">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摄像头</w:t>
            </w:r>
          </w:p>
        </w:tc>
        <w:tc>
          <w:tcPr>
            <w:tcW w:w="7475" w:type="dxa"/>
            <w:vAlign w:val="center"/>
          </w:tcPr>
          <w:p w14:paraId="39EF063A">
            <w:pPr>
              <w:adjustRightInd w:val="0"/>
              <w:snapToGrid w:val="0"/>
              <w:rPr>
                <w:rFonts w:hint="eastAsia" w:ascii="微软雅黑" w:hAnsi="微软雅黑" w:eastAsia="微软雅黑"/>
                <w:sz w:val="20"/>
                <w:szCs w:val="20"/>
                <w:lang w:val="en-US" w:eastAsia="zh-CN"/>
              </w:rPr>
            </w:pPr>
            <w:r>
              <w:rPr>
                <w:rFonts w:hint="eastAsia" w:ascii="微软雅黑" w:hAnsi="微软雅黑" w:eastAsia="微软雅黑"/>
                <w:sz w:val="20"/>
                <w:szCs w:val="20"/>
              </w:rPr>
              <w:t>后置≥1300万像素，前置≥200万像素，自动对焦</w:t>
            </w:r>
          </w:p>
        </w:tc>
      </w:tr>
      <w:tr w14:paraId="693F7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86" w:type="dxa"/>
            <w:vAlign w:val="center"/>
          </w:tcPr>
          <w:p w14:paraId="4EC99735">
            <w:pPr>
              <w:adjustRightInd w:val="0"/>
              <w:snapToGrid w:val="0"/>
              <w:rPr>
                <w:rFonts w:hint="default" w:ascii="微软雅黑" w:hAnsi="微软雅黑" w:eastAsia="微软雅黑"/>
                <w:sz w:val="20"/>
                <w:szCs w:val="20"/>
                <w:lang w:val="en-US" w:eastAsia="zh-CN"/>
              </w:rPr>
            </w:pPr>
            <w:r>
              <w:rPr>
                <w:rFonts w:hint="eastAsia" w:ascii="微软雅黑" w:hAnsi="微软雅黑" w:eastAsia="微软雅黑"/>
                <w:sz w:val="20"/>
                <w:szCs w:val="20"/>
                <w:lang w:val="en-US" w:eastAsia="zh-CN"/>
              </w:rPr>
              <w:t>11</w:t>
            </w:r>
          </w:p>
        </w:tc>
        <w:tc>
          <w:tcPr>
            <w:tcW w:w="1739" w:type="dxa"/>
            <w:vAlign w:val="center"/>
          </w:tcPr>
          <w:p w14:paraId="6C9C95B9">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条码扫描引擎</w:t>
            </w:r>
          </w:p>
        </w:tc>
        <w:tc>
          <w:tcPr>
            <w:tcW w:w="7475" w:type="dxa"/>
            <w:vAlign w:val="center"/>
          </w:tcPr>
          <w:p w14:paraId="4D0E4F8A">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采用高性能扫描引擎，采用十字准心对焦提高识别率，支持一维码、二维码、电子屏幕扫描，扫描头和PDA为同一品牌。</w:t>
            </w:r>
          </w:p>
        </w:tc>
      </w:tr>
      <w:tr w14:paraId="711F0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86" w:type="dxa"/>
            <w:vAlign w:val="center"/>
          </w:tcPr>
          <w:p w14:paraId="63A39E99">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12</w:t>
            </w:r>
          </w:p>
        </w:tc>
        <w:tc>
          <w:tcPr>
            <w:tcW w:w="1739" w:type="dxa"/>
            <w:vAlign w:val="center"/>
          </w:tcPr>
          <w:p w14:paraId="5521B030">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扫描引擎补光</w:t>
            </w:r>
          </w:p>
        </w:tc>
        <w:tc>
          <w:tcPr>
            <w:tcW w:w="7475" w:type="dxa"/>
            <w:vAlign w:val="center"/>
          </w:tcPr>
          <w:p w14:paraId="2AC1702C">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应用白色LED补光技术.可手动调节灯光开启/关闭。</w:t>
            </w:r>
          </w:p>
        </w:tc>
      </w:tr>
      <w:tr w14:paraId="6E2F8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686" w:type="dxa"/>
            <w:vAlign w:val="center"/>
          </w:tcPr>
          <w:p w14:paraId="44B22F0F">
            <w:pPr>
              <w:adjustRightInd w:val="0"/>
              <w:snapToGrid w:val="0"/>
              <w:rPr>
                <w:rFonts w:hint="default" w:ascii="微软雅黑" w:hAnsi="微软雅黑" w:eastAsia="微软雅黑"/>
                <w:sz w:val="20"/>
                <w:szCs w:val="20"/>
                <w:lang w:val="en-US" w:eastAsia="zh-CN"/>
              </w:rPr>
            </w:pPr>
            <w:r>
              <w:rPr>
                <w:rFonts w:hint="eastAsia" w:ascii="微软雅黑" w:hAnsi="微软雅黑" w:eastAsia="微软雅黑"/>
                <w:sz w:val="20"/>
                <w:szCs w:val="20"/>
                <w:lang w:val="en-US" w:eastAsia="zh-CN"/>
              </w:rPr>
              <w:t>13</w:t>
            </w:r>
          </w:p>
        </w:tc>
        <w:tc>
          <w:tcPr>
            <w:tcW w:w="1739" w:type="dxa"/>
            <w:vAlign w:val="center"/>
          </w:tcPr>
          <w:p w14:paraId="47634C0D">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网络连接</w:t>
            </w:r>
          </w:p>
        </w:tc>
        <w:tc>
          <w:tcPr>
            <w:tcW w:w="7475" w:type="dxa"/>
            <w:vAlign w:val="center"/>
          </w:tcPr>
          <w:p w14:paraId="46B2F5C8">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支持802.11 a/b/g/n/ac/d/h/i/k/r/v/ac/ax(MIMO 2X2) WiFi 6，支持WIFI 2.4G及5G频段。</w:t>
            </w:r>
          </w:p>
          <w:p w14:paraId="2938F0AB">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支持国内三大运营商5G全网通，提供投标产品5G电信设备入网许可证书。</w:t>
            </w:r>
          </w:p>
          <w:p w14:paraId="0ADD33B9">
            <w:pPr>
              <w:adjustRightInd w:val="0"/>
              <w:snapToGrid w:val="0"/>
              <w:rPr>
                <w:rFonts w:hint="default" w:ascii="微软雅黑" w:hAnsi="微软雅黑" w:eastAsia="微软雅黑"/>
                <w:sz w:val="20"/>
                <w:szCs w:val="20"/>
                <w:lang w:val="en-US" w:eastAsia="zh-CN"/>
              </w:rPr>
            </w:pPr>
            <w:r>
              <w:rPr>
                <w:rFonts w:hint="eastAsia" w:ascii="微软雅黑" w:hAnsi="微软雅黑" w:eastAsia="微软雅黑"/>
                <w:sz w:val="20"/>
                <w:szCs w:val="20"/>
                <w:lang w:val="en-US" w:eastAsia="zh-CN"/>
              </w:rPr>
              <w:t>每台PDA配套一张物联网卡，接入医院5G网络。</w:t>
            </w:r>
          </w:p>
        </w:tc>
      </w:tr>
      <w:tr w14:paraId="796D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686" w:type="dxa"/>
            <w:vAlign w:val="center"/>
          </w:tcPr>
          <w:p w14:paraId="2A221B34">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14</w:t>
            </w:r>
          </w:p>
        </w:tc>
        <w:tc>
          <w:tcPr>
            <w:tcW w:w="1739" w:type="dxa"/>
            <w:vAlign w:val="center"/>
          </w:tcPr>
          <w:p w14:paraId="6EC2750F">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无线网络安全性</w:t>
            </w:r>
          </w:p>
        </w:tc>
        <w:tc>
          <w:tcPr>
            <w:tcW w:w="7475" w:type="dxa"/>
            <w:vAlign w:val="center"/>
          </w:tcPr>
          <w:p w14:paraId="1992F50F">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提供投标产品无线电发射设备型号核准证证书。</w:t>
            </w:r>
          </w:p>
        </w:tc>
      </w:tr>
      <w:tr w14:paraId="2CB8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86" w:type="dxa"/>
            <w:vAlign w:val="center"/>
          </w:tcPr>
          <w:p w14:paraId="2C9B1746">
            <w:pPr>
              <w:adjustRightInd w:val="0"/>
              <w:snapToGrid w:val="0"/>
              <w:rPr>
                <w:rFonts w:hint="eastAsia" w:ascii="微软雅黑" w:hAnsi="微软雅黑" w:eastAsia="微软雅黑"/>
                <w:sz w:val="20"/>
                <w:szCs w:val="20"/>
                <w:lang w:eastAsia="zh-CN"/>
              </w:rPr>
            </w:pPr>
            <w:r>
              <w:rPr>
                <w:rFonts w:hint="eastAsia" w:ascii="微软雅黑" w:hAnsi="微软雅黑" w:eastAsia="微软雅黑"/>
                <w:sz w:val="20"/>
                <w:szCs w:val="20"/>
              </w:rPr>
              <w:t>1</w:t>
            </w:r>
            <w:r>
              <w:rPr>
                <w:rFonts w:hint="eastAsia" w:ascii="微软雅黑" w:hAnsi="微软雅黑" w:eastAsia="微软雅黑"/>
                <w:sz w:val="20"/>
                <w:szCs w:val="20"/>
                <w:lang w:val="en-US" w:eastAsia="zh-CN"/>
              </w:rPr>
              <w:t>5</w:t>
            </w:r>
          </w:p>
        </w:tc>
        <w:tc>
          <w:tcPr>
            <w:tcW w:w="1739" w:type="dxa"/>
            <w:vAlign w:val="center"/>
          </w:tcPr>
          <w:p w14:paraId="4EB167CE">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蓝牙</w:t>
            </w:r>
          </w:p>
        </w:tc>
        <w:tc>
          <w:tcPr>
            <w:tcW w:w="7475" w:type="dxa"/>
            <w:vAlign w:val="center"/>
          </w:tcPr>
          <w:p w14:paraId="2B84720F">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≥Bluetooth Class 5.2 BLE</w:t>
            </w:r>
          </w:p>
        </w:tc>
      </w:tr>
      <w:tr w14:paraId="3EBE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686" w:type="dxa"/>
            <w:vAlign w:val="center"/>
          </w:tcPr>
          <w:p w14:paraId="0539B52E">
            <w:pPr>
              <w:adjustRightInd w:val="0"/>
              <w:snapToGrid w:val="0"/>
              <w:rPr>
                <w:rFonts w:hint="default" w:ascii="微软雅黑" w:hAnsi="微软雅黑" w:eastAsia="微软雅黑"/>
                <w:sz w:val="20"/>
                <w:szCs w:val="20"/>
                <w:lang w:val="en-US" w:eastAsia="zh-CN"/>
              </w:rPr>
            </w:pPr>
            <w:r>
              <w:rPr>
                <w:rFonts w:hint="eastAsia" w:ascii="微软雅黑" w:hAnsi="微软雅黑" w:eastAsia="微软雅黑"/>
                <w:sz w:val="20"/>
                <w:szCs w:val="20"/>
                <w:lang w:val="en-US" w:eastAsia="zh-CN"/>
              </w:rPr>
              <w:t>16</w:t>
            </w:r>
          </w:p>
        </w:tc>
        <w:tc>
          <w:tcPr>
            <w:tcW w:w="1739" w:type="dxa"/>
            <w:vAlign w:val="center"/>
          </w:tcPr>
          <w:p w14:paraId="70F37204">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工业防护等级</w:t>
            </w:r>
          </w:p>
        </w:tc>
        <w:tc>
          <w:tcPr>
            <w:tcW w:w="7475" w:type="dxa"/>
            <w:vAlign w:val="center"/>
          </w:tcPr>
          <w:p w14:paraId="44981812">
            <w:pPr>
              <w:adjustRightInd w:val="0"/>
              <w:snapToGrid w:val="0"/>
              <w:rPr>
                <w:rFonts w:hint="eastAsia" w:ascii="微软雅黑" w:hAnsi="微软雅黑" w:eastAsia="微软雅黑"/>
                <w:sz w:val="20"/>
                <w:szCs w:val="20"/>
                <w:lang w:eastAsia="zh-CN"/>
              </w:rPr>
            </w:pPr>
            <w:r>
              <w:rPr>
                <w:rFonts w:hint="eastAsia" w:ascii="微软雅黑" w:hAnsi="微软雅黑" w:eastAsia="微软雅黑"/>
                <w:sz w:val="20"/>
                <w:szCs w:val="20"/>
              </w:rPr>
              <w:t>IP68或以上</w:t>
            </w:r>
            <w:r>
              <w:rPr>
                <w:rFonts w:hint="eastAsia" w:ascii="微软雅黑" w:hAnsi="微软雅黑" w:eastAsia="微软雅黑"/>
                <w:sz w:val="20"/>
                <w:szCs w:val="20"/>
                <w:lang w:eastAsia="zh-CN"/>
              </w:rPr>
              <w:t>。</w:t>
            </w:r>
          </w:p>
        </w:tc>
      </w:tr>
      <w:tr w14:paraId="7E69B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86" w:type="dxa"/>
            <w:vAlign w:val="center"/>
          </w:tcPr>
          <w:p w14:paraId="1543BFA4">
            <w:pPr>
              <w:adjustRightInd w:val="0"/>
              <w:snapToGrid w:val="0"/>
              <w:rPr>
                <w:rFonts w:hint="eastAsia" w:ascii="微软雅黑" w:hAnsi="微软雅黑" w:eastAsia="微软雅黑"/>
                <w:sz w:val="20"/>
                <w:szCs w:val="20"/>
                <w:lang w:eastAsia="zh-CN"/>
              </w:rPr>
            </w:pPr>
            <w:r>
              <w:rPr>
                <w:rFonts w:hint="eastAsia" w:ascii="微软雅黑" w:hAnsi="微软雅黑" w:eastAsia="微软雅黑"/>
                <w:sz w:val="20"/>
                <w:szCs w:val="20"/>
              </w:rPr>
              <w:t>1</w:t>
            </w:r>
            <w:r>
              <w:rPr>
                <w:rFonts w:hint="eastAsia" w:ascii="微软雅黑" w:hAnsi="微软雅黑" w:eastAsia="微软雅黑"/>
                <w:sz w:val="20"/>
                <w:szCs w:val="20"/>
                <w:lang w:val="en-US" w:eastAsia="zh-CN"/>
              </w:rPr>
              <w:t>7</w:t>
            </w:r>
          </w:p>
        </w:tc>
        <w:tc>
          <w:tcPr>
            <w:tcW w:w="1739" w:type="dxa"/>
            <w:vAlign w:val="center"/>
          </w:tcPr>
          <w:p w14:paraId="0636CBDC">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抗跌落能力</w:t>
            </w:r>
          </w:p>
        </w:tc>
        <w:tc>
          <w:tcPr>
            <w:tcW w:w="7475" w:type="dxa"/>
            <w:vAlign w:val="center"/>
          </w:tcPr>
          <w:p w14:paraId="6C2B0106">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能承受1.5米水泥地面的跌落冲击。</w:t>
            </w:r>
          </w:p>
        </w:tc>
      </w:tr>
      <w:tr w14:paraId="40F2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86" w:type="dxa"/>
            <w:vAlign w:val="center"/>
          </w:tcPr>
          <w:p w14:paraId="69E70CF2">
            <w:pPr>
              <w:adjustRightInd w:val="0"/>
              <w:snapToGrid w:val="0"/>
              <w:rPr>
                <w:rFonts w:hint="eastAsia" w:ascii="微软雅黑" w:hAnsi="微软雅黑" w:eastAsia="微软雅黑"/>
                <w:sz w:val="20"/>
                <w:szCs w:val="20"/>
                <w:lang w:val="en-US" w:eastAsia="zh-CN"/>
              </w:rPr>
            </w:pPr>
            <w:r>
              <w:rPr>
                <w:rFonts w:hint="eastAsia" w:ascii="微软雅黑" w:hAnsi="微软雅黑" w:eastAsia="微软雅黑"/>
                <w:sz w:val="20"/>
                <w:szCs w:val="20"/>
                <w:lang w:val="en-US" w:eastAsia="zh-CN"/>
              </w:rPr>
              <w:t>18</w:t>
            </w:r>
          </w:p>
        </w:tc>
        <w:tc>
          <w:tcPr>
            <w:tcW w:w="1739" w:type="dxa"/>
            <w:vAlign w:val="center"/>
          </w:tcPr>
          <w:p w14:paraId="622245C4">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重量</w:t>
            </w:r>
          </w:p>
        </w:tc>
        <w:tc>
          <w:tcPr>
            <w:tcW w:w="7475" w:type="dxa"/>
            <w:vAlign w:val="center"/>
          </w:tcPr>
          <w:p w14:paraId="68D61C42">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≤2</w:t>
            </w:r>
            <w:r>
              <w:rPr>
                <w:rFonts w:hint="eastAsia" w:ascii="微软雅黑" w:hAnsi="微软雅黑" w:eastAsia="微软雅黑"/>
                <w:sz w:val="20"/>
                <w:szCs w:val="20"/>
                <w:lang w:val="en-US" w:eastAsia="zh-CN"/>
              </w:rPr>
              <w:t>9</w:t>
            </w:r>
            <w:r>
              <w:rPr>
                <w:rFonts w:hint="eastAsia" w:ascii="微软雅黑" w:hAnsi="微软雅黑" w:eastAsia="微软雅黑"/>
                <w:sz w:val="20"/>
                <w:szCs w:val="20"/>
              </w:rPr>
              <w:t>0克（含电池）</w:t>
            </w:r>
          </w:p>
        </w:tc>
      </w:tr>
      <w:tr w14:paraId="7809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86" w:type="dxa"/>
            <w:vAlign w:val="center"/>
          </w:tcPr>
          <w:p w14:paraId="2F2F0CA4">
            <w:pPr>
              <w:adjustRightInd w:val="0"/>
              <w:snapToGrid w:val="0"/>
              <w:rPr>
                <w:rFonts w:hint="eastAsia" w:ascii="微软雅黑" w:hAnsi="微软雅黑" w:eastAsia="微软雅黑"/>
                <w:sz w:val="20"/>
                <w:szCs w:val="20"/>
                <w:lang w:val="en-US" w:eastAsia="zh-CN"/>
              </w:rPr>
            </w:pPr>
            <w:r>
              <w:rPr>
                <w:rFonts w:hint="eastAsia" w:ascii="微软雅黑" w:hAnsi="微软雅黑" w:eastAsia="微软雅黑"/>
                <w:sz w:val="20"/>
                <w:szCs w:val="20"/>
                <w:lang w:val="en-US" w:eastAsia="zh-CN"/>
              </w:rPr>
              <w:t>19</w:t>
            </w:r>
          </w:p>
        </w:tc>
        <w:tc>
          <w:tcPr>
            <w:tcW w:w="1739" w:type="dxa"/>
            <w:vAlign w:val="center"/>
          </w:tcPr>
          <w:p w14:paraId="0460B524">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配件</w:t>
            </w:r>
          </w:p>
        </w:tc>
        <w:tc>
          <w:tcPr>
            <w:tcW w:w="7475" w:type="dxa"/>
            <w:vAlign w:val="center"/>
          </w:tcPr>
          <w:p w14:paraId="1D73E13A">
            <w:pPr>
              <w:adjustRightInd w:val="0"/>
              <w:snapToGrid w:val="0"/>
              <w:rPr>
                <w:rFonts w:hint="eastAsia" w:ascii="微软雅黑" w:hAnsi="微软雅黑" w:eastAsia="微软雅黑"/>
                <w:sz w:val="20"/>
                <w:szCs w:val="20"/>
                <w:lang w:eastAsia="zh-CN"/>
              </w:rPr>
            </w:pPr>
            <w:r>
              <w:rPr>
                <w:rFonts w:hint="eastAsia" w:ascii="微软雅黑" w:hAnsi="微软雅黑" w:eastAsia="微软雅黑"/>
                <w:sz w:val="20"/>
                <w:szCs w:val="20"/>
                <w:lang w:eastAsia="zh-CN"/>
              </w:rPr>
              <w:t>标配手背带，可拆卸更换，便于单手操作，防止跌落砸伤患者。另须配备与PDA主机型号一致的软胶保护壳（须适配主机尺寸，不影响扫描按键、充电接口及摄像头使用）及屏幕保护膜（须已贴合，不影响触摸灵敏度），每台PDA至少配套 1套软胶壳 + 1张屏幕保护膜。</w:t>
            </w:r>
          </w:p>
        </w:tc>
      </w:tr>
      <w:tr w14:paraId="7EBE5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86" w:type="dxa"/>
            <w:vAlign w:val="center"/>
          </w:tcPr>
          <w:p w14:paraId="0BFFE233">
            <w:pPr>
              <w:adjustRightInd w:val="0"/>
              <w:snapToGrid w:val="0"/>
              <w:rPr>
                <w:rFonts w:hint="default" w:ascii="微软雅黑" w:hAnsi="微软雅黑" w:eastAsia="微软雅黑"/>
                <w:sz w:val="20"/>
                <w:szCs w:val="20"/>
                <w:lang w:val="en-US" w:eastAsia="zh-CN"/>
              </w:rPr>
            </w:pPr>
            <w:r>
              <w:rPr>
                <w:rFonts w:hint="eastAsia" w:ascii="微软雅黑" w:hAnsi="微软雅黑" w:eastAsia="微软雅黑"/>
                <w:sz w:val="20"/>
                <w:szCs w:val="20"/>
                <w:lang w:val="en-US" w:eastAsia="zh-CN"/>
              </w:rPr>
              <w:t>20</w:t>
            </w:r>
          </w:p>
        </w:tc>
        <w:tc>
          <w:tcPr>
            <w:tcW w:w="1739" w:type="dxa"/>
            <w:vAlign w:val="center"/>
          </w:tcPr>
          <w:p w14:paraId="13F0146D">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自带软件</w:t>
            </w:r>
          </w:p>
        </w:tc>
        <w:tc>
          <w:tcPr>
            <w:tcW w:w="7475" w:type="dxa"/>
            <w:vAlign w:val="center"/>
          </w:tcPr>
          <w:p w14:paraId="0E29C157">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1. 锁屏管理软件：除管理员外,设备工作用户不能修改系统、安装或卸载任何第三方应用。</w:t>
            </w:r>
          </w:p>
          <w:p w14:paraId="23F060A4">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2. 通过扫描二维码快速实现个性化桌面与参数项设置，满足不同的应用场景要求。</w:t>
            </w:r>
          </w:p>
        </w:tc>
      </w:tr>
      <w:tr w14:paraId="3D5FF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86" w:type="dxa"/>
            <w:vAlign w:val="center"/>
          </w:tcPr>
          <w:p w14:paraId="6C0065EF">
            <w:pPr>
              <w:adjustRightInd w:val="0"/>
              <w:snapToGrid w:val="0"/>
              <w:rPr>
                <w:rFonts w:hint="eastAsia" w:ascii="微软雅黑" w:hAnsi="微软雅黑" w:eastAsia="微软雅黑"/>
                <w:sz w:val="20"/>
                <w:szCs w:val="20"/>
                <w:lang w:eastAsia="zh-CN"/>
              </w:rPr>
            </w:pPr>
            <w:r>
              <w:rPr>
                <w:rFonts w:hint="eastAsia" w:ascii="微软雅黑" w:hAnsi="微软雅黑" w:eastAsia="微软雅黑"/>
                <w:sz w:val="20"/>
                <w:szCs w:val="20"/>
              </w:rPr>
              <w:t>2</w:t>
            </w:r>
            <w:r>
              <w:rPr>
                <w:rFonts w:hint="eastAsia" w:ascii="微软雅黑" w:hAnsi="微软雅黑" w:eastAsia="微软雅黑"/>
                <w:sz w:val="20"/>
                <w:szCs w:val="20"/>
                <w:lang w:val="en-US" w:eastAsia="zh-CN"/>
              </w:rPr>
              <w:t>1</w:t>
            </w:r>
          </w:p>
        </w:tc>
        <w:tc>
          <w:tcPr>
            <w:tcW w:w="1739" w:type="dxa"/>
            <w:vAlign w:val="center"/>
          </w:tcPr>
          <w:p w14:paraId="10185577">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网络安全管理</w:t>
            </w:r>
          </w:p>
        </w:tc>
        <w:tc>
          <w:tcPr>
            <w:tcW w:w="7475" w:type="dxa"/>
            <w:vAlign w:val="center"/>
          </w:tcPr>
          <w:p w14:paraId="16623482">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不借助任何第三方软件实现添加网络白（黑）名单功能，屏蔽非法网络，确保设备院内医疗使用。</w:t>
            </w:r>
          </w:p>
        </w:tc>
      </w:tr>
      <w:tr w14:paraId="61620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86" w:type="dxa"/>
            <w:vAlign w:val="center"/>
          </w:tcPr>
          <w:p w14:paraId="45C4F095">
            <w:pPr>
              <w:adjustRightInd w:val="0"/>
              <w:snapToGrid w:val="0"/>
              <w:rPr>
                <w:rFonts w:hint="default" w:ascii="微软雅黑" w:hAnsi="微软雅黑" w:eastAsia="微软雅黑"/>
                <w:sz w:val="20"/>
                <w:szCs w:val="20"/>
                <w:lang w:val="en-US" w:eastAsia="zh-CN"/>
              </w:rPr>
            </w:pPr>
            <w:r>
              <w:rPr>
                <w:rFonts w:hint="eastAsia" w:ascii="微软雅黑" w:hAnsi="微软雅黑" w:eastAsia="微软雅黑"/>
                <w:sz w:val="20"/>
                <w:szCs w:val="20"/>
                <w:lang w:val="en-US" w:eastAsia="zh-CN"/>
              </w:rPr>
              <w:t>22</w:t>
            </w:r>
          </w:p>
        </w:tc>
        <w:tc>
          <w:tcPr>
            <w:tcW w:w="1739" w:type="dxa"/>
            <w:vAlign w:val="center"/>
          </w:tcPr>
          <w:p w14:paraId="08A23910">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保修服务</w:t>
            </w:r>
          </w:p>
        </w:tc>
        <w:tc>
          <w:tcPr>
            <w:tcW w:w="7475" w:type="dxa"/>
            <w:vAlign w:val="center"/>
          </w:tcPr>
          <w:p w14:paraId="54DF8C71">
            <w:pPr>
              <w:adjustRightInd w:val="0"/>
              <w:snapToGrid w:val="0"/>
              <w:rPr>
                <w:rFonts w:hint="eastAsia" w:ascii="微软雅黑" w:hAnsi="微软雅黑" w:eastAsia="微软雅黑"/>
                <w:sz w:val="20"/>
                <w:szCs w:val="20"/>
                <w:lang w:eastAsia="zh-CN"/>
              </w:rPr>
            </w:pPr>
            <w:r>
              <w:rPr>
                <w:rFonts w:hint="eastAsia" w:ascii="微软雅黑" w:hAnsi="微软雅黑" w:eastAsia="微软雅黑"/>
                <w:sz w:val="20"/>
                <w:szCs w:val="20"/>
                <w:lang w:val="en-US" w:eastAsia="zh-CN"/>
              </w:rPr>
              <w:t>五</w:t>
            </w:r>
            <w:r>
              <w:rPr>
                <w:rFonts w:hint="eastAsia" w:ascii="微软雅黑" w:hAnsi="微软雅黑" w:eastAsia="微软雅黑"/>
                <w:sz w:val="20"/>
                <w:szCs w:val="20"/>
              </w:rPr>
              <w:t>年主机全保服务（包含人为损坏）</w:t>
            </w:r>
          </w:p>
        </w:tc>
      </w:tr>
    </w:tbl>
    <w:p w14:paraId="3F355ED4">
      <w:pPr>
        <w:pStyle w:val="7"/>
        <w:numPr>
          <w:ilvl w:val="0"/>
          <w:numId w:val="0"/>
        </w:numPr>
        <w:spacing w:line="540" w:lineRule="exact"/>
        <w:rPr>
          <w:rFonts w:hint="default"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2.移动护理车</w:t>
      </w:r>
    </w:p>
    <w:tbl>
      <w:tblPr>
        <w:tblStyle w:val="5"/>
        <w:tblW w:w="99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831"/>
        <w:gridCol w:w="7433"/>
      </w:tblGrid>
      <w:tr w14:paraId="00636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7B784098">
            <w:pPr>
              <w:jc w:val="center"/>
              <w:rPr>
                <w:rFonts w:hint="eastAsia" w:ascii="微软雅黑" w:hAnsi="微软雅黑" w:eastAsia="微软雅黑"/>
                <w:b/>
                <w:sz w:val="20"/>
                <w:szCs w:val="20"/>
              </w:rPr>
            </w:pPr>
            <w:r>
              <w:rPr>
                <w:rFonts w:hint="eastAsia" w:ascii="微软雅黑" w:hAnsi="微软雅黑" w:eastAsia="微软雅黑"/>
                <w:b/>
                <w:sz w:val="20"/>
                <w:szCs w:val="20"/>
              </w:rPr>
              <w:t>序号</w:t>
            </w:r>
          </w:p>
        </w:tc>
        <w:tc>
          <w:tcPr>
            <w:tcW w:w="1831" w:type="dxa"/>
            <w:tcBorders>
              <w:top w:val="single" w:color="auto" w:sz="4" w:space="0"/>
              <w:left w:val="single" w:color="auto" w:sz="4" w:space="0"/>
              <w:bottom w:val="single" w:color="auto" w:sz="4" w:space="0"/>
              <w:right w:val="single" w:color="auto" w:sz="4" w:space="0"/>
            </w:tcBorders>
            <w:vAlign w:val="center"/>
          </w:tcPr>
          <w:p w14:paraId="4F530553">
            <w:pPr>
              <w:jc w:val="center"/>
              <w:rPr>
                <w:rFonts w:hint="eastAsia" w:ascii="微软雅黑" w:hAnsi="微软雅黑" w:eastAsia="微软雅黑"/>
                <w:b/>
                <w:sz w:val="20"/>
                <w:szCs w:val="20"/>
              </w:rPr>
            </w:pPr>
            <w:r>
              <w:rPr>
                <w:rFonts w:hint="eastAsia" w:ascii="微软雅黑" w:hAnsi="微软雅黑" w:eastAsia="微软雅黑"/>
                <w:b/>
                <w:sz w:val="20"/>
                <w:szCs w:val="20"/>
              </w:rPr>
              <w:t>指标项</w:t>
            </w:r>
          </w:p>
        </w:tc>
        <w:tc>
          <w:tcPr>
            <w:tcW w:w="7433" w:type="dxa"/>
            <w:tcBorders>
              <w:top w:val="single" w:color="auto" w:sz="4" w:space="0"/>
              <w:left w:val="single" w:color="auto" w:sz="4" w:space="0"/>
              <w:bottom w:val="single" w:color="auto" w:sz="4" w:space="0"/>
              <w:right w:val="single" w:color="auto" w:sz="4" w:space="0"/>
            </w:tcBorders>
            <w:vAlign w:val="center"/>
          </w:tcPr>
          <w:p w14:paraId="3F000F9A">
            <w:pPr>
              <w:jc w:val="center"/>
              <w:rPr>
                <w:rFonts w:hint="eastAsia" w:ascii="微软雅黑" w:hAnsi="微软雅黑" w:eastAsia="微软雅黑"/>
                <w:b/>
                <w:sz w:val="20"/>
                <w:szCs w:val="20"/>
              </w:rPr>
            </w:pPr>
            <w:r>
              <w:rPr>
                <w:rFonts w:hint="eastAsia" w:ascii="微软雅黑" w:hAnsi="微软雅黑" w:eastAsia="微软雅黑"/>
                <w:b/>
                <w:sz w:val="20"/>
                <w:szCs w:val="20"/>
              </w:rPr>
              <w:t>技术要求</w:t>
            </w:r>
          </w:p>
        </w:tc>
      </w:tr>
      <w:tr w14:paraId="205B2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008A64ED">
            <w:pPr>
              <w:pStyle w:val="7"/>
              <w:numPr>
                <w:ilvl w:val="0"/>
                <w:numId w:val="5"/>
              </w:numPr>
              <w:ind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584E93BE">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整车重量</w:t>
            </w:r>
          </w:p>
        </w:tc>
        <w:tc>
          <w:tcPr>
            <w:tcW w:w="7433" w:type="dxa"/>
            <w:tcBorders>
              <w:top w:val="single" w:color="auto" w:sz="4" w:space="0"/>
              <w:left w:val="single" w:color="auto" w:sz="4" w:space="0"/>
              <w:bottom w:val="single" w:color="auto" w:sz="4" w:space="0"/>
              <w:right w:val="single" w:color="auto" w:sz="4" w:space="0"/>
            </w:tcBorders>
            <w:vAlign w:val="center"/>
          </w:tcPr>
          <w:p w14:paraId="5986B85A">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整车重量≤40KG（不含挂件）</w:t>
            </w:r>
          </w:p>
        </w:tc>
      </w:tr>
      <w:tr w14:paraId="44410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644338E1">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01EA096D">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外形尺寸</w:t>
            </w:r>
          </w:p>
        </w:tc>
        <w:tc>
          <w:tcPr>
            <w:tcW w:w="7433" w:type="dxa"/>
            <w:tcBorders>
              <w:top w:val="single" w:color="auto" w:sz="4" w:space="0"/>
              <w:left w:val="single" w:color="auto" w:sz="4" w:space="0"/>
              <w:bottom w:val="single" w:color="auto" w:sz="4" w:space="0"/>
              <w:right w:val="single" w:color="auto" w:sz="4" w:space="0"/>
            </w:tcBorders>
            <w:vAlign w:val="center"/>
          </w:tcPr>
          <w:p w14:paraId="0A784D7A">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为适配病房空间，整机宽度≤520mm，深度≤600mm，台面最高离地高度约1090mm（±</w:t>
            </w:r>
            <w:r>
              <w:rPr>
                <w:rFonts w:hint="eastAsia" w:ascii="微软雅黑" w:hAnsi="微软雅黑" w:eastAsia="微软雅黑"/>
                <w:sz w:val="20"/>
                <w:szCs w:val="20"/>
                <w:lang w:val="en-US" w:eastAsia="zh-CN"/>
              </w:rPr>
              <w:t>2</w:t>
            </w:r>
            <w:r>
              <w:rPr>
                <w:rFonts w:hint="eastAsia" w:ascii="微软雅黑" w:hAnsi="微软雅黑" w:eastAsia="微软雅黑"/>
                <w:sz w:val="20"/>
                <w:szCs w:val="20"/>
              </w:rPr>
              <w:t>0mm）（注：该尺寸不含挂架及配件）</w:t>
            </w:r>
          </w:p>
        </w:tc>
      </w:tr>
      <w:tr w14:paraId="038A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0CE7A8AA">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2E3E34A3">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整车材质</w:t>
            </w:r>
          </w:p>
        </w:tc>
        <w:tc>
          <w:tcPr>
            <w:tcW w:w="7433" w:type="dxa"/>
            <w:tcBorders>
              <w:top w:val="single" w:color="auto" w:sz="4" w:space="0"/>
              <w:left w:val="single" w:color="auto" w:sz="4" w:space="0"/>
              <w:bottom w:val="single" w:color="auto" w:sz="4" w:space="0"/>
              <w:right w:val="single" w:color="auto" w:sz="4" w:space="0"/>
            </w:tcBorders>
            <w:vAlign w:val="center"/>
          </w:tcPr>
          <w:p w14:paraId="23761181">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整车主要材质为塑料、高强度航空铝及不锈钢组成，车体表面抑菌处理，方便清洁，耐受酒精、洗必泰、施康等医院常用消毒剂擦拭消毒</w:t>
            </w:r>
          </w:p>
        </w:tc>
      </w:tr>
      <w:tr w14:paraId="68F8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274111D6">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065600FC">
            <w:pPr>
              <w:adjustRightInd w:val="0"/>
              <w:snapToGrid w:val="0"/>
              <w:ind w:firstLine="200" w:firstLineChars="100"/>
              <w:rPr>
                <w:rFonts w:hint="eastAsia" w:ascii="微软雅黑" w:hAnsi="微软雅黑" w:eastAsia="微软雅黑"/>
                <w:sz w:val="20"/>
                <w:szCs w:val="20"/>
              </w:rPr>
            </w:pPr>
            <w:r>
              <w:rPr>
                <w:rFonts w:hint="eastAsia" w:ascii="微软雅黑" w:hAnsi="微软雅黑" w:eastAsia="微软雅黑"/>
                <w:sz w:val="20"/>
                <w:szCs w:val="20"/>
              </w:rPr>
              <w:t>▲台面设计</w:t>
            </w:r>
          </w:p>
        </w:tc>
        <w:tc>
          <w:tcPr>
            <w:tcW w:w="7433" w:type="dxa"/>
            <w:tcBorders>
              <w:top w:val="single" w:color="auto" w:sz="4" w:space="0"/>
              <w:left w:val="single" w:color="auto" w:sz="4" w:space="0"/>
              <w:bottom w:val="single" w:color="auto" w:sz="4" w:space="0"/>
              <w:right w:val="single" w:color="auto" w:sz="4" w:space="0"/>
            </w:tcBorders>
            <w:vAlign w:val="center"/>
          </w:tcPr>
          <w:p w14:paraId="6F1A8F4D">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台面尺寸宽≥4</w:t>
            </w:r>
            <w:r>
              <w:rPr>
                <w:rFonts w:hint="eastAsia" w:ascii="微软雅黑" w:hAnsi="微软雅黑" w:eastAsia="微软雅黑"/>
                <w:sz w:val="20"/>
                <w:szCs w:val="20"/>
                <w:lang w:val="en-US" w:eastAsia="zh-CN"/>
              </w:rPr>
              <w:t>8</w:t>
            </w:r>
            <w:r>
              <w:rPr>
                <w:rFonts w:hint="eastAsia" w:ascii="微软雅黑" w:hAnsi="微软雅黑" w:eastAsia="微软雅黑"/>
                <w:sz w:val="20"/>
                <w:szCs w:val="20"/>
              </w:rPr>
              <w:t>0mm</w:t>
            </w:r>
            <w:r>
              <w:rPr>
                <w:rFonts w:hint="eastAsia" w:ascii="微软雅黑" w:hAnsi="微软雅黑" w:eastAsia="微软雅黑"/>
                <w:sz w:val="20"/>
                <w:szCs w:val="20"/>
                <w:lang w:eastAsia="zh-CN"/>
              </w:rPr>
              <w:t>，深≥</w:t>
            </w:r>
            <w:r>
              <w:rPr>
                <w:rFonts w:hint="eastAsia" w:ascii="微软雅黑" w:hAnsi="微软雅黑" w:eastAsia="微软雅黑"/>
                <w:sz w:val="20"/>
                <w:szCs w:val="20"/>
              </w:rPr>
              <w:t>4</w:t>
            </w:r>
            <w:r>
              <w:rPr>
                <w:rFonts w:hint="eastAsia" w:ascii="微软雅黑" w:hAnsi="微软雅黑" w:eastAsia="微软雅黑"/>
                <w:sz w:val="20"/>
                <w:szCs w:val="20"/>
                <w:lang w:val="en-US" w:eastAsia="zh-CN"/>
              </w:rPr>
              <w:t>6</w:t>
            </w:r>
            <w:r>
              <w:rPr>
                <w:rFonts w:hint="eastAsia" w:ascii="微软雅黑" w:hAnsi="微软雅黑" w:eastAsia="微软雅黑"/>
                <w:sz w:val="20"/>
                <w:szCs w:val="20"/>
              </w:rPr>
              <w:t>0mm（不含把手）；（需提供台面尺寸实物测量图片）</w:t>
            </w:r>
          </w:p>
        </w:tc>
      </w:tr>
      <w:tr w14:paraId="5925F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6C048A2D">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0535CF65">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★台面及围挡</w:t>
            </w:r>
          </w:p>
        </w:tc>
        <w:tc>
          <w:tcPr>
            <w:tcW w:w="7433" w:type="dxa"/>
            <w:tcBorders>
              <w:top w:val="single" w:color="auto" w:sz="4" w:space="0"/>
              <w:left w:val="single" w:color="auto" w:sz="4" w:space="0"/>
              <w:bottom w:val="single" w:color="auto" w:sz="4" w:space="0"/>
              <w:right w:val="single" w:color="auto" w:sz="4" w:space="0"/>
            </w:tcBorders>
            <w:vAlign w:val="center"/>
          </w:tcPr>
          <w:p w14:paraId="7C6210A8">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台面须具备防掉落及防液体渗漏设计，四周具有凹型围挡，围挡高度≥25mm，左右两侧围挡长度≥18cm，防止桌面物品掉落及液体渗漏。（需提供实物图片）</w:t>
            </w:r>
          </w:p>
        </w:tc>
      </w:tr>
      <w:tr w14:paraId="683D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320D072F">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38D97695">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控制面板</w:t>
            </w:r>
          </w:p>
        </w:tc>
        <w:tc>
          <w:tcPr>
            <w:tcW w:w="7433" w:type="dxa"/>
            <w:tcBorders>
              <w:top w:val="single" w:color="auto" w:sz="4" w:space="0"/>
              <w:left w:val="single" w:color="auto" w:sz="4" w:space="0"/>
              <w:bottom w:val="single" w:color="auto" w:sz="4" w:space="0"/>
              <w:right w:val="single" w:color="auto" w:sz="4" w:space="0"/>
            </w:tcBorders>
            <w:vAlign w:val="center"/>
          </w:tcPr>
          <w:p w14:paraId="09A70A2C">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控制面板位于台面前侧靠近把手处，靠前方的设计更方便用户操作，面板上设置有一键开关机键和电池电量指示灯，可通过不同颜色灯的状态显示电池电量、充电状态等信息</w:t>
            </w:r>
          </w:p>
        </w:tc>
      </w:tr>
      <w:tr w14:paraId="4AC5E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2D411D38">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360AB294">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▲台面把手</w:t>
            </w:r>
          </w:p>
        </w:tc>
        <w:tc>
          <w:tcPr>
            <w:tcW w:w="7433" w:type="dxa"/>
            <w:tcBorders>
              <w:top w:val="single" w:color="auto" w:sz="4" w:space="0"/>
              <w:left w:val="single" w:color="auto" w:sz="4" w:space="0"/>
              <w:bottom w:val="single" w:color="auto" w:sz="4" w:space="0"/>
              <w:right w:val="single" w:color="auto" w:sz="4" w:space="0"/>
            </w:tcBorders>
            <w:vAlign w:val="center"/>
          </w:tcPr>
          <w:p w14:paraId="5371AB4F">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台面与把手连接处须结构牢固，表面平滑无卫生死角，具备防液体渗漏设计，便于酒精等消毒剂擦拭</w:t>
            </w:r>
            <w:r>
              <w:rPr>
                <w:rFonts w:hint="eastAsia" w:ascii="微软雅黑" w:hAnsi="微软雅黑" w:eastAsia="微软雅黑"/>
                <w:sz w:val="20"/>
                <w:szCs w:val="20"/>
                <w:lang w:eastAsia="zh-CN"/>
              </w:rPr>
              <w:t>。</w:t>
            </w:r>
            <w:r>
              <w:rPr>
                <w:rFonts w:hint="eastAsia" w:ascii="微软雅黑" w:hAnsi="微软雅黑" w:eastAsia="微软雅黑"/>
                <w:sz w:val="20"/>
                <w:szCs w:val="20"/>
              </w:rPr>
              <w:t>把手须符合人体工程学设计，握感舒适，推拉省力；把手位置及高度须适应临床医护人员自然站立推拉习惯，不得导致推拉时磕碰腿部或过度弯腰</w:t>
            </w:r>
            <w:r>
              <w:rPr>
                <w:rFonts w:hint="eastAsia" w:ascii="微软雅黑" w:hAnsi="微软雅黑" w:eastAsia="微软雅黑"/>
                <w:sz w:val="20"/>
                <w:szCs w:val="20"/>
                <w:lang w:eastAsia="zh-CN"/>
              </w:rPr>
              <w:t>。符合人体工程学设计，方便推拉。</w:t>
            </w:r>
            <w:r>
              <w:rPr>
                <w:rFonts w:hint="eastAsia" w:ascii="微软雅黑" w:hAnsi="微软雅黑" w:eastAsia="微软雅黑"/>
                <w:sz w:val="20"/>
                <w:szCs w:val="20"/>
              </w:rPr>
              <w:t>（提供台面与把手连接处及整体推拉姿态的实物图片）</w:t>
            </w:r>
          </w:p>
        </w:tc>
      </w:tr>
      <w:tr w14:paraId="18F34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24C2AFC2">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5BDD7A98">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▲键盘托</w:t>
            </w:r>
          </w:p>
        </w:tc>
        <w:tc>
          <w:tcPr>
            <w:tcW w:w="7433" w:type="dxa"/>
            <w:tcBorders>
              <w:top w:val="single" w:color="auto" w:sz="4" w:space="0"/>
              <w:left w:val="single" w:color="auto" w:sz="4" w:space="0"/>
              <w:bottom w:val="single" w:color="auto" w:sz="4" w:space="0"/>
              <w:right w:val="single" w:color="auto" w:sz="4" w:space="0"/>
            </w:tcBorders>
            <w:vAlign w:val="center"/>
          </w:tcPr>
          <w:p w14:paraId="6CD7415B">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键盘托完全隐藏在台面设备层内，使用时通过键盘托把手拉出即可，不用时推入不占外部空间，键盘托把手为隐藏式向下设计，不积灰不积液方便清洁；（需提供隐藏式键盘托及把手隐藏式向下的实物照片）</w:t>
            </w:r>
          </w:p>
        </w:tc>
      </w:tr>
      <w:tr w14:paraId="69566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476DD6A8">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5BD0B7C2">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台面升降</w:t>
            </w:r>
          </w:p>
        </w:tc>
        <w:tc>
          <w:tcPr>
            <w:tcW w:w="7433" w:type="dxa"/>
            <w:tcBorders>
              <w:top w:val="single" w:color="auto" w:sz="4" w:space="0"/>
              <w:left w:val="single" w:color="auto" w:sz="4" w:space="0"/>
              <w:bottom w:val="single" w:color="auto" w:sz="4" w:space="0"/>
              <w:right w:val="single" w:color="auto" w:sz="4" w:space="0"/>
            </w:tcBorders>
            <w:vAlign w:val="center"/>
          </w:tcPr>
          <w:p w14:paraId="71266750">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工作台面可升降，升降最大行程≥300mm</w:t>
            </w:r>
          </w:p>
        </w:tc>
      </w:tr>
      <w:tr w14:paraId="226FB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31B1789F">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006D47ED">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台面升降方式</w:t>
            </w:r>
          </w:p>
        </w:tc>
        <w:tc>
          <w:tcPr>
            <w:tcW w:w="7433" w:type="dxa"/>
            <w:tcBorders>
              <w:top w:val="single" w:color="auto" w:sz="4" w:space="0"/>
              <w:left w:val="single" w:color="auto" w:sz="4" w:space="0"/>
              <w:bottom w:val="single" w:color="auto" w:sz="4" w:space="0"/>
              <w:right w:val="single" w:color="auto" w:sz="4" w:space="0"/>
            </w:tcBorders>
            <w:vAlign w:val="center"/>
          </w:tcPr>
          <w:p w14:paraId="7B6D129B">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台面升降方式为手动控制的气动升降，台面</w:t>
            </w:r>
            <w:r>
              <w:rPr>
                <w:rFonts w:hint="eastAsia" w:ascii="微软雅黑" w:hAnsi="微软雅黑" w:eastAsia="微软雅黑"/>
                <w:sz w:val="20"/>
                <w:szCs w:val="20"/>
                <w:lang w:val="en-US" w:eastAsia="zh-CN"/>
              </w:rPr>
              <w:t>侧面</w:t>
            </w:r>
            <w:r>
              <w:rPr>
                <w:rFonts w:hint="eastAsia" w:ascii="微软雅黑" w:hAnsi="微软雅黑" w:eastAsia="微软雅黑"/>
                <w:sz w:val="20"/>
                <w:szCs w:val="20"/>
              </w:rPr>
              <w:t>有升降控制把手，可控制升降</w:t>
            </w:r>
          </w:p>
        </w:tc>
      </w:tr>
      <w:tr w14:paraId="43797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32DBA96F">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2FFFD7F3">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升降立柱结构</w:t>
            </w:r>
          </w:p>
        </w:tc>
        <w:tc>
          <w:tcPr>
            <w:tcW w:w="7433" w:type="dxa"/>
            <w:tcBorders>
              <w:top w:val="single" w:color="auto" w:sz="4" w:space="0"/>
              <w:left w:val="single" w:color="auto" w:sz="4" w:space="0"/>
              <w:bottom w:val="single" w:color="auto" w:sz="4" w:space="0"/>
              <w:right w:val="single" w:color="auto" w:sz="4" w:space="0"/>
            </w:tcBorders>
            <w:vAlign w:val="center"/>
          </w:tcPr>
          <w:p w14:paraId="050C49D7">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升降立柱为套管式设计，结构稳定。</w:t>
            </w:r>
          </w:p>
        </w:tc>
      </w:tr>
      <w:tr w14:paraId="129B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2608E87B">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3ECB8D9A">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线缆隐藏</w:t>
            </w:r>
          </w:p>
        </w:tc>
        <w:tc>
          <w:tcPr>
            <w:tcW w:w="7433" w:type="dxa"/>
            <w:tcBorders>
              <w:top w:val="single" w:color="auto" w:sz="4" w:space="0"/>
              <w:left w:val="single" w:color="auto" w:sz="4" w:space="0"/>
              <w:bottom w:val="single" w:color="auto" w:sz="4" w:space="0"/>
              <w:right w:val="single" w:color="auto" w:sz="4" w:space="0"/>
            </w:tcBorders>
            <w:vAlign w:val="center"/>
          </w:tcPr>
          <w:p w14:paraId="22041B66">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整车线缆隐藏式设计（包含显示器电源线、数据线等），车体线缆无外露。</w:t>
            </w:r>
          </w:p>
        </w:tc>
      </w:tr>
      <w:tr w14:paraId="5095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7EE1864E">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2CEA66B5">
            <w:pPr>
              <w:jc w:val="center"/>
              <w:rPr>
                <w:rFonts w:hint="eastAsia" w:ascii="微软雅黑" w:hAnsi="微软雅黑" w:eastAsia="微软雅黑"/>
                <w:sz w:val="20"/>
                <w:szCs w:val="20"/>
              </w:rPr>
            </w:pPr>
            <w:r>
              <w:rPr>
                <w:rFonts w:hint="eastAsia" w:ascii="微软雅黑" w:hAnsi="微软雅黑" w:eastAsia="微软雅黑"/>
                <w:sz w:val="20"/>
                <w:szCs w:val="20"/>
              </w:rPr>
              <w:t>脚轮</w:t>
            </w:r>
          </w:p>
        </w:tc>
        <w:tc>
          <w:tcPr>
            <w:tcW w:w="7433" w:type="dxa"/>
            <w:tcBorders>
              <w:top w:val="single" w:color="auto" w:sz="4" w:space="0"/>
              <w:left w:val="single" w:color="auto" w:sz="4" w:space="0"/>
              <w:bottom w:val="single" w:color="auto" w:sz="4" w:space="0"/>
              <w:right w:val="single" w:color="auto" w:sz="4" w:space="0"/>
            </w:tcBorders>
            <w:vAlign w:val="center"/>
          </w:tcPr>
          <w:p w14:paraId="3772F7B5">
            <w:pPr>
              <w:jc w:val="left"/>
              <w:rPr>
                <w:rFonts w:hint="eastAsia" w:ascii="微软雅黑" w:hAnsi="微软雅黑" w:eastAsia="微软雅黑"/>
                <w:sz w:val="20"/>
                <w:szCs w:val="20"/>
              </w:rPr>
            </w:pPr>
            <w:r>
              <w:rPr>
                <w:rFonts w:hint="eastAsia" w:ascii="微软雅黑" w:hAnsi="微软雅黑" w:eastAsia="微软雅黑"/>
                <w:sz w:val="20"/>
                <w:szCs w:val="20"/>
              </w:rPr>
              <w:t xml:space="preserve">4个医疗级万向脚轮；2个前轮带刹车功能，超静音、防滑、防缠绕脚轮 </w:t>
            </w:r>
          </w:p>
        </w:tc>
      </w:tr>
      <w:tr w14:paraId="790E3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1BD90A66">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7070B694">
            <w:pPr>
              <w:jc w:val="center"/>
              <w:rPr>
                <w:rFonts w:hint="eastAsia" w:ascii="微软雅黑" w:hAnsi="微软雅黑" w:eastAsia="微软雅黑"/>
                <w:sz w:val="20"/>
                <w:szCs w:val="20"/>
              </w:rPr>
            </w:pPr>
            <w:r>
              <w:rPr>
                <w:rFonts w:hint="eastAsia" w:ascii="微软雅黑" w:hAnsi="微软雅黑" w:eastAsia="微软雅黑"/>
                <w:sz w:val="20"/>
                <w:szCs w:val="20"/>
              </w:rPr>
              <w:t>制动方式</w:t>
            </w:r>
          </w:p>
        </w:tc>
        <w:tc>
          <w:tcPr>
            <w:tcW w:w="7433" w:type="dxa"/>
            <w:tcBorders>
              <w:top w:val="single" w:color="auto" w:sz="4" w:space="0"/>
              <w:left w:val="single" w:color="auto" w:sz="4" w:space="0"/>
              <w:bottom w:val="single" w:color="auto" w:sz="4" w:space="0"/>
              <w:right w:val="single" w:color="auto" w:sz="4" w:space="0"/>
            </w:tcBorders>
            <w:vAlign w:val="center"/>
          </w:tcPr>
          <w:p w14:paraId="2F194F91">
            <w:pPr>
              <w:jc w:val="left"/>
              <w:rPr>
                <w:rFonts w:hint="eastAsia" w:ascii="微软雅黑" w:hAnsi="微软雅黑" w:eastAsia="微软雅黑"/>
                <w:sz w:val="20"/>
                <w:szCs w:val="20"/>
              </w:rPr>
            </w:pPr>
            <w:r>
              <w:rPr>
                <w:rFonts w:hint="eastAsia" w:ascii="微软雅黑" w:hAnsi="微软雅黑" w:eastAsia="微软雅黑"/>
                <w:sz w:val="20"/>
                <w:szCs w:val="20"/>
              </w:rPr>
              <w:t>脚踏式制动</w:t>
            </w:r>
          </w:p>
        </w:tc>
      </w:tr>
      <w:tr w14:paraId="1C7B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31060537">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4F02EB37">
            <w:pPr>
              <w:jc w:val="center"/>
              <w:rPr>
                <w:rFonts w:hint="eastAsia" w:ascii="微软雅黑" w:hAnsi="微软雅黑" w:eastAsia="微软雅黑"/>
                <w:sz w:val="20"/>
                <w:szCs w:val="20"/>
              </w:rPr>
            </w:pPr>
            <w:r>
              <w:rPr>
                <w:rFonts w:hint="eastAsia" w:ascii="微软雅黑" w:hAnsi="微软雅黑" w:eastAsia="微软雅黑"/>
                <w:sz w:val="20"/>
                <w:szCs w:val="20"/>
              </w:rPr>
              <w:t>抽屉</w:t>
            </w:r>
          </w:p>
        </w:tc>
        <w:tc>
          <w:tcPr>
            <w:tcW w:w="7433" w:type="dxa"/>
            <w:tcBorders>
              <w:top w:val="single" w:color="auto" w:sz="4" w:space="0"/>
              <w:left w:val="single" w:color="auto" w:sz="4" w:space="0"/>
              <w:bottom w:val="single" w:color="auto" w:sz="4" w:space="0"/>
              <w:right w:val="single" w:color="auto" w:sz="4" w:space="0"/>
            </w:tcBorders>
            <w:vAlign w:val="center"/>
          </w:tcPr>
          <w:p w14:paraId="3E068DD3">
            <w:pPr>
              <w:jc w:val="left"/>
              <w:rPr>
                <w:rFonts w:hint="eastAsia" w:ascii="微软雅黑" w:hAnsi="微软雅黑" w:eastAsia="微软雅黑"/>
                <w:sz w:val="20"/>
                <w:szCs w:val="20"/>
                <w:lang w:eastAsia="zh-CN"/>
              </w:rPr>
            </w:pPr>
            <w:r>
              <w:rPr>
                <w:rFonts w:hint="eastAsia" w:ascii="微软雅黑" w:hAnsi="微软雅黑" w:eastAsia="微软雅黑"/>
                <w:sz w:val="20"/>
                <w:szCs w:val="20"/>
              </w:rPr>
              <w:t>配置2层抽屉（一大一小），大抽屉内宽≥320mm、深≥290mm、高≥220mm；小抽屉内宽≥320mm、深≥290mm、高≥100mm。（误差允许±10mm）。柜体和抽屉表面材质为工程ABS材料，内衬金属骨架，配置机械抽屉锁</w:t>
            </w:r>
            <w:r>
              <w:rPr>
                <w:rFonts w:hint="eastAsia" w:ascii="微软雅黑" w:hAnsi="微软雅黑" w:eastAsia="微软雅黑"/>
                <w:sz w:val="20"/>
                <w:szCs w:val="20"/>
                <w:lang w:eastAsia="zh-CN"/>
              </w:rPr>
              <w:t>，</w:t>
            </w:r>
            <w:r>
              <w:rPr>
                <w:rFonts w:hint="eastAsia" w:ascii="微软雅黑" w:hAnsi="微软雅黑" w:eastAsia="微软雅黑"/>
                <w:sz w:val="20"/>
                <w:szCs w:val="20"/>
              </w:rPr>
              <w:t>可锁定抽屉</w:t>
            </w:r>
          </w:p>
        </w:tc>
      </w:tr>
      <w:tr w14:paraId="6FF8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4DBFDE31">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54BBCBF3">
            <w:pPr>
              <w:jc w:val="center"/>
              <w:rPr>
                <w:rFonts w:hint="eastAsia" w:ascii="微软雅黑" w:hAnsi="微软雅黑" w:eastAsia="微软雅黑"/>
                <w:sz w:val="20"/>
                <w:szCs w:val="20"/>
              </w:rPr>
            </w:pPr>
            <w:r>
              <w:rPr>
                <w:rFonts w:hint="eastAsia" w:ascii="微软雅黑" w:hAnsi="微软雅黑" w:eastAsia="微软雅黑"/>
                <w:sz w:val="20"/>
                <w:szCs w:val="20"/>
              </w:rPr>
              <w:t>挂件</w:t>
            </w:r>
          </w:p>
        </w:tc>
        <w:tc>
          <w:tcPr>
            <w:tcW w:w="7433" w:type="dxa"/>
            <w:tcBorders>
              <w:top w:val="single" w:color="auto" w:sz="4" w:space="0"/>
              <w:left w:val="single" w:color="auto" w:sz="4" w:space="0"/>
              <w:bottom w:val="single" w:color="auto" w:sz="4" w:space="0"/>
              <w:right w:val="single" w:color="auto" w:sz="4" w:space="0"/>
            </w:tcBorders>
            <w:vAlign w:val="center"/>
          </w:tcPr>
          <w:p w14:paraId="438C146D">
            <w:pPr>
              <w:jc w:val="left"/>
              <w:rPr>
                <w:rFonts w:hint="eastAsia" w:ascii="微软雅黑" w:hAnsi="微软雅黑" w:eastAsia="微软雅黑"/>
                <w:sz w:val="20"/>
                <w:szCs w:val="20"/>
              </w:rPr>
            </w:pPr>
            <w:r>
              <w:rPr>
                <w:rFonts w:hint="eastAsia" w:ascii="微软雅黑" w:hAnsi="微软雅黑" w:eastAsia="微软雅黑"/>
                <w:sz w:val="20"/>
                <w:szCs w:val="20"/>
              </w:rPr>
              <w:t>手消液放置架x1；锐器盒支架x1；压脉带盒x1；垃圾桶x2。</w:t>
            </w:r>
          </w:p>
        </w:tc>
      </w:tr>
      <w:tr w14:paraId="48EF3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27FBB22C">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7DEF1A06">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显示器</w:t>
            </w:r>
          </w:p>
        </w:tc>
        <w:tc>
          <w:tcPr>
            <w:tcW w:w="7433" w:type="dxa"/>
            <w:tcBorders>
              <w:top w:val="single" w:color="auto" w:sz="4" w:space="0"/>
              <w:left w:val="single" w:color="auto" w:sz="4" w:space="0"/>
              <w:bottom w:val="single" w:color="auto" w:sz="4" w:space="0"/>
              <w:right w:val="single" w:color="auto" w:sz="4" w:space="0"/>
            </w:tcBorders>
            <w:vAlign w:val="center"/>
          </w:tcPr>
          <w:p w14:paraId="58C6426D">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≥23.8英寸 IPS屏；16：9；分辨率≥1920×1080</w:t>
            </w:r>
          </w:p>
        </w:tc>
      </w:tr>
      <w:tr w14:paraId="5AB6D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1D5CD999">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0E148DE3">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支架调整角度</w:t>
            </w:r>
          </w:p>
        </w:tc>
        <w:tc>
          <w:tcPr>
            <w:tcW w:w="7433" w:type="dxa"/>
            <w:tcBorders>
              <w:top w:val="single" w:color="auto" w:sz="4" w:space="0"/>
              <w:left w:val="single" w:color="auto" w:sz="4" w:space="0"/>
              <w:bottom w:val="single" w:color="auto" w:sz="4" w:space="0"/>
              <w:right w:val="single" w:color="auto" w:sz="4" w:space="0"/>
            </w:tcBorders>
            <w:vAlign w:val="center"/>
          </w:tcPr>
          <w:p w14:paraId="459405FF">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水平左旋转≥90°，水平右旋转≥180°，仰角≥40°，俯角≥15°</w:t>
            </w:r>
          </w:p>
        </w:tc>
      </w:tr>
      <w:tr w14:paraId="59507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33F7E260">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47B44149">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显示屏支架升降</w:t>
            </w:r>
          </w:p>
        </w:tc>
        <w:tc>
          <w:tcPr>
            <w:tcW w:w="7433" w:type="dxa"/>
            <w:tcBorders>
              <w:top w:val="single" w:color="auto" w:sz="4" w:space="0"/>
              <w:left w:val="single" w:color="auto" w:sz="4" w:space="0"/>
              <w:bottom w:val="single" w:color="auto" w:sz="4" w:space="0"/>
              <w:right w:val="single" w:color="auto" w:sz="4" w:space="0"/>
            </w:tcBorders>
            <w:vAlign w:val="center"/>
          </w:tcPr>
          <w:p w14:paraId="69396123">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显示屏支架可升降，升降范围≥50mm</w:t>
            </w:r>
          </w:p>
        </w:tc>
      </w:tr>
      <w:tr w14:paraId="12CB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7E054B2E">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2C221F92">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工作站主机</w:t>
            </w:r>
          </w:p>
        </w:tc>
        <w:tc>
          <w:tcPr>
            <w:tcW w:w="7433" w:type="dxa"/>
            <w:tcBorders>
              <w:top w:val="single" w:color="auto" w:sz="4" w:space="0"/>
              <w:left w:val="single" w:color="auto" w:sz="4" w:space="0"/>
              <w:bottom w:val="single" w:color="auto" w:sz="4" w:space="0"/>
              <w:right w:val="single" w:color="auto" w:sz="4" w:space="0"/>
            </w:tcBorders>
            <w:vAlign w:val="center"/>
          </w:tcPr>
          <w:p w14:paraId="3421E142">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采用工控mini主机设计，内嵌于车体设备层内，节省空间。</w:t>
            </w:r>
          </w:p>
        </w:tc>
      </w:tr>
      <w:tr w14:paraId="3E9B6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1FC0FD4E">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49C24B8A">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★CPU</w:t>
            </w:r>
          </w:p>
        </w:tc>
        <w:tc>
          <w:tcPr>
            <w:tcW w:w="7433" w:type="dxa"/>
            <w:tcBorders>
              <w:top w:val="single" w:color="auto" w:sz="4" w:space="0"/>
              <w:left w:val="single" w:color="auto" w:sz="4" w:space="0"/>
              <w:bottom w:val="single" w:color="auto" w:sz="4" w:space="0"/>
              <w:right w:val="single" w:color="auto" w:sz="4" w:space="0"/>
            </w:tcBorders>
            <w:vAlign w:val="center"/>
          </w:tcPr>
          <w:p w14:paraId="3DD8BB6F">
            <w:pPr>
              <w:adjustRightInd w:val="0"/>
              <w:snapToGrid w:val="0"/>
              <w:rPr>
                <w:rFonts w:hint="eastAsia" w:ascii="微软雅黑" w:hAnsi="微软雅黑" w:eastAsia="微软雅黑"/>
                <w:sz w:val="20"/>
                <w:szCs w:val="20"/>
              </w:rPr>
            </w:pPr>
            <w:r>
              <w:rPr>
                <w:rFonts w:hint="eastAsia" w:ascii="微软雅黑" w:hAnsi="微软雅黑" w:eastAsia="微软雅黑"/>
                <w:bCs/>
                <w:sz w:val="20"/>
                <w:szCs w:val="20"/>
              </w:rPr>
              <w:t>不低于i7 12代</w:t>
            </w:r>
          </w:p>
        </w:tc>
      </w:tr>
      <w:tr w14:paraId="39E4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6A59E837">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162E673E">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★内存</w:t>
            </w:r>
          </w:p>
        </w:tc>
        <w:tc>
          <w:tcPr>
            <w:tcW w:w="7433" w:type="dxa"/>
            <w:tcBorders>
              <w:top w:val="single" w:color="auto" w:sz="4" w:space="0"/>
              <w:left w:val="single" w:color="auto" w:sz="4" w:space="0"/>
              <w:bottom w:val="single" w:color="auto" w:sz="4" w:space="0"/>
              <w:right w:val="single" w:color="auto" w:sz="4" w:space="0"/>
            </w:tcBorders>
            <w:vAlign w:val="center"/>
          </w:tcPr>
          <w:p w14:paraId="0D3B6029">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不低于16GB</w:t>
            </w:r>
          </w:p>
        </w:tc>
      </w:tr>
      <w:tr w14:paraId="3D555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188A2EC7">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083150AD">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★硬盘</w:t>
            </w:r>
          </w:p>
        </w:tc>
        <w:tc>
          <w:tcPr>
            <w:tcW w:w="7433" w:type="dxa"/>
            <w:tcBorders>
              <w:top w:val="single" w:color="auto" w:sz="4" w:space="0"/>
              <w:left w:val="single" w:color="auto" w:sz="4" w:space="0"/>
              <w:bottom w:val="single" w:color="auto" w:sz="4" w:space="0"/>
              <w:right w:val="single" w:color="auto" w:sz="4" w:space="0"/>
            </w:tcBorders>
            <w:vAlign w:val="center"/>
          </w:tcPr>
          <w:p w14:paraId="66F0C227">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不低于固态硬盘512GB</w:t>
            </w:r>
          </w:p>
        </w:tc>
      </w:tr>
      <w:tr w14:paraId="26285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0D5FB706">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2BFD157B">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★无线网络</w:t>
            </w:r>
          </w:p>
        </w:tc>
        <w:tc>
          <w:tcPr>
            <w:tcW w:w="7433" w:type="dxa"/>
            <w:tcBorders>
              <w:top w:val="single" w:color="auto" w:sz="4" w:space="0"/>
              <w:left w:val="single" w:color="auto" w:sz="4" w:space="0"/>
              <w:bottom w:val="single" w:color="auto" w:sz="4" w:space="0"/>
              <w:right w:val="single" w:color="auto" w:sz="4" w:space="0"/>
            </w:tcBorders>
            <w:vAlign w:val="center"/>
          </w:tcPr>
          <w:p w14:paraId="272DE148">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支持2.4G/5G双频网络，支持协议802.11 a/b/g/n/ac</w:t>
            </w:r>
            <w:r>
              <w:rPr>
                <w:rFonts w:ascii="微软雅黑" w:hAnsi="微软雅黑" w:eastAsia="微软雅黑"/>
                <w:sz w:val="20"/>
                <w:szCs w:val="20"/>
              </w:rPr>
              <w:t xml:space="preserve"> </w:t>
            </w:r>
            <w:r>
              <w:rPr>
                <w:rFonts w:hint="eastAsia" w:ascii="微软雅黑" w:hAnsi="微软雅黑" w:eastAsia="微软雅黑"/>
                <w:sz w:val="20"/>
                <w:szCs w:val="20"/>
              </w:rPr>
              <w:t>；支持5G全网通</w:t>
            </w:r>
          </w:p>
        </w:tc>
      </w:tr>
      <w:tr w14:paraId="7D84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7501551C">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4F2B04EA">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天线</w:t>
            </w:r>
          </w:p>
        </w:tc>
        <w:tc>
          <w:tcPr>
            <w:tcW w:w="7433" w:type="dxa"/>
            <w:tcBorders>
              <w:top w:val="single" w:color="auto" w:sz="4" w:space="0"/>
              <w:left w:val="single" w:color="auto" w:sz="4" w:space="0"/>
              <w:bottom w:val="single" w:color="auto" w:sz="4" w:space="0"/>
              <w:right w:val="single" w:color="auto" w:sz="4" w:space="0"/>
            </w:tcBorders>
            <w:vAlign w:val="center"/>
          </w:tcPr>
          <w:p w14:paraId="406854A8">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内置天线设计，无任何外露</w:t>
            </w:r>
          </w:p>
        </w:tc>
      </w:tr>
      <w:tr w14:paraId="2C13F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614BF91F">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3AA10256">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电脑主机接口</w:t>
            </w:r>
          </w:p>
        </w:tc>
        <w:tc>
          <w:tcPr>
            <w:tcW w:w="7433" w:type="dxa"/>
            <w:tcBorders>
              <w:top w:val="single" w:color="auto" w:sz="4" w:space="0"/>
              <w:left w:val="single" w:color="auto" w:sz="4" w:space="0"/>
              <w:bottom w:val="single" w:color="auto" w:sz="4" w:space="0"/>
              <w:right w:val="single" w:color="auto" w:sz="4" w:space="0"/>
            </w:tcBorders>
            <w:vAlign w:val="center"/>
          </w:tcPr>
          <w:p w14:paraId="4DE3828B">
            <w:pPr>
              <w:adjustRightInd w:val="0"/>
              <w:snapToGrid w:val="0"/>
              <w:rPr>
                <w:rFonts w:hint="eastAsia" w:ascii="微软雅黑" w:hAnsi="微软雅黑" w:eastAsia="微软雅黑"/>
                <w:sz w:val="20"/>
                <w:szCs w:val="20"/>
              </w:rPr>
            </w:pPr>
            <w:r>
              <w:rPr>
                <w:rFonts w:hint="eastAsia" w:ascii="微软雅黑" w:hAnsi="微软雅黑" w:eastAsia="微软雅黑"/>
                <w:color w:val="000000"/>
                <w:sz w:val="20"/>
                <w:szCs w:val="20"/>
              </w:rPr>
              <w:t>至少包含：</w:t>
            </w:r>
            <w:r>
              <w:rPr>
                <w:rFonts w:ascii="微软雅黑" w:hAnsi="微软雅黑" w:eastAsia="微软雅黑"/>
                <w:color w:val="000000"/>
                <w:sz w:val="20"/>
                <w:szCs w:val="20"/>
              </w:rPr>
              <w:t>USB2.0*</w:t>
            </w:r>
            <w:r>
              <w:rPr>
                <w:rFonts w:hint="eastAsia" w:ascii="微软雅黑" w:hAnsi="微软雅黑" w:eastAsia="微软雅黑"/>
                <w:color w:val="000000"/>
                <w:sz w:val="20"/>
                <w:szCs w:val="20"/>
              </w:rPr>
              <w:t>3</w:t>
            </w:r>
            <w:r>
              <w:rPr>
                <w:rFonts w:ascii="微软雅黑" w:hAnsi="微软雅黑" w:eastAsia="微软雅黑"/>
                <w:color w:val="000000"/>
                <w:sz w:val="20"/>
                <w:szCs w:val="20"/>
              </w:rPr>
              <w:t>，USB3.0*</w:t>
            </w:r>
            <w:r>
              <w:rPr>
                <w:rFonts w:hint="eastAsia" w:ascii="微软雅黑" w:hAnsi="微软雅黑" w:eastAsia="微软雅黑"/>
                <w:color w:val="000000"/>
                <w:sz w:val="20"/>
                <w:szCs w:val="20"/>
              </w:rPr>
              <w:t>3</w:t>
            </w:r>
            <w:r>
              <w:rPr>
                <w:rFonts w:ascii="微软雅黑" w:hAnsi="微软雅黑" w:eastAsia="微软雅黑"/>
                <w:color w:val="000000"/>
                <w:sz w:val="20"/>
                <w:szCs w:val="20"/>
              </w:rPr>
              <w:t>，HDMI*</w:t>
            </w:r>
            <w:r>
              <w:rPr>
                <w:rFonts w:hint="eastAsia" w:ascii="微软雅黑" w:hAnsi="微软雅黑" w:eastAsia="微软雅黑"/>
                <w:color w:val="000000"/>
                <w:sz w:val="20"/>
                <w:szCs w:val="20"/>
              </w:rPr>
              <w:t>1</w:t>
            </w:r>
            <w:r>
              <w:rPr>
                <w:rFonts w:ascii="微软雅黑" w:hAnsi="微软雅黑" w:eastAsia="微软雅黑"/>
                <w:color w:val="000000"/>
                <w:sz w:val="20"/>
                <w:szCs w:val="20"/>
              </w:rPr>
              <w:t>，</w:t>
            </w:r>
            <w:r>
              <w:rPr>
                <w:rFonts w:hint="eastAsia" w:ascii="微软雅黑" w:hAnsi="微软雅黑" w:eastAsia="微软雅黑"/>
                <w:color w:val="000000"/>
                <w:sz w:val="20"/>
                <w:szCs w:val="20"/>
              </w:rPr>
              <w:t>R</w:t>
            </w:r>
            <w:r>
              <w:rPr>
                <w:rFonts w:ascii="微软雅黑" w:hAnsi="微软雅黑" w:eastAsia="微软雅黑"/>
                <w:color w:val="000000"/>
                <w:sz w:val="20"/>
                <w:szCs w:val="20"/>
              </w:rPr>
              <w:t>J45*1</w:t>
            </w:r>
            <w:r>
              <w:rPr>
                <w:rFonts w:hint="eastAsia" w:ascii="微软雅黑" w:hAnsi="微软雅黑" w:eastAsia="微软雅黑"/>
                <w:color w:val="000000"/>
                <w:sz w:val="20"/>
                <w:szCs w:val="20"/>
              </w:rPr>
              <w:t>，RS232x1，</w:t>
            </w:r>
            <w:r>
              <w:rPr>
                <w:rFonts w:ascii="微软雅黑" w:hAnsi="微软雅黑" w:eastAsia="微软雅黑"/>
                <w:color w:val="000000"/>
                <w:sz w:val="20"/>
                <w:szCs w:val="20"/>
              </w:rPr>
              <w:t>音频输出*1，音频输入*1</w:t>
            </w:r>
          </w:p>
        </w:tc>
      </w:tr>
      <w:tr w14:paraId="0EC89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1617D6A3">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2B91E609">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操作系统</w:t>
            </w:r>
          </w:p>
        </w:tc>
        <w:tc>
          <w:tcPr>
            <w:tcW w:w="7433" w:type="dxa"/>
            <w:tcBorders>
              <w:top w:val="single" w:color="auto" w:sz="4" w:space="0"/>
              <w:left w:val="single" w:color="auto" w:sz="4" w:space="0"/>
              <w:bottom w:val="single" w:color="auto" w:sz="4" w:space="0"/>
              <w:right w:val="single" w:color="auto" w:sz="4" w:space="0"/>
            </w:tcBorders>
            <w:vAlign w:val="center"/>
          </w:tcPr>
          <w:p w14:paraId="1732B14D">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支持Windows10及其以上</w:t>
            </w:r>
          </w:p>
        </w:tc>
      </w:tr>
      <w:tr w14:paraId="4DE82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411A90EE">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3336C65D">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▲电池位置</w:t>
            </w:r>
          </w:p>
        </w:tc>
        <w:tc>
          <w:tcPr>
            <w:tcW w:w="7433" w:type="dxa"/>
            <w:tcBorders>
              <w:top w:val="single" w:color="auto" w:sz="4" w:space="0"/>
              <w:left w:val="single" w:color="auto" w:sz="4" w:space="0"/>
              <w:bottom w:val="single" w:color="auto" w:sz="4" w:space="0"/>
              <w:right w:val="single" w:color="auto" w:sz="4" w:space="0"/>
            </w:tcBorders>
            <w:vAlign w:val="center"/>
          </w:tcPr>
          <w:p w14:paraId="5764B7B3">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电池须下置（如嵌入推车底盘或低位设计），降低推车重心，保证推行稳固。（需提供实物图片）</w:t>
            </w:r>
          </w:p>
        </w:tc>
      </w:tr>
      <w:tr w14:paraId="7399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5E204363">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16C621EE">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电池电芯</w:t>
            </w:r>
          </w:p>
        </w:tc>
        <w:tc>
          <w:tcPr>
            <w:tcW w:w="7433" w:type="dxa"/>
            <w:tcBorders>
              <w:top w:val="single" w:color="auto" w:sz="4" w:space="0"/>
              <w:left w:val="single" w:color="auto" w:sz="4" w:space="0"/>
              <w:bottom w:val="single" w:color="auto" w:sz="4" w:space="0"/>
              <w:right w:val="single" w:color="auto" w:sz="4" w:space="0"/>
            </w:tcBorders>
            <w:vAlign w:val="center"/>
          </w:tcPr>
          <w:p w14:paraId="4A106FB1">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采用安全性高的磷酸铁锂材质，循环寿命次数≥2000次</w:t>
            </w:r>
          </w:p>
        </w:tc>
      </w:tr>
      <w:tr w14:paraId="639E7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6B0FB706">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54ED4A9A">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电池额定能量</w:t>
            </w:r>
          </w:p>
        </w:tc>
        <w:tc>
          <w:tcPr>
            <w:tcW w:w="7433" w:type="dxa"/>
            <w:tcBorders>
              <w:top w:val="single" w:color="auto" w:sz="4" w:space="0"/>
              <w:left w:val="single" w:color="auto" w:sz="4" w:space="0"/>
              <w:bottom w:val="single" w:color="auto" w:sz="4" w:space="0"/>
              <w:right w:val="single" w:color="auto" w:sz="4" w:space="0"/>
            </w:tcBorders>
            <w:vAlign w:val="center"/>
          </w:tcPr>
          <w:p w14:paraId="2E53E5AA">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≥280Wh</w:t>
            </w:r>
          </w:p>
        </w:tc>
      </w:tr>
      <w:tr w14:paraId="25CD3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5251DEC3">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29DBCDBC">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充电时间</w:t>
            </w:r>
          </w:p>
        </w:tc>
        <w:tc>
          <w:tcPr>
            <w:tcW w:w="7433" w:type="dxa"/>
            <w:tcBorders>
              <w:top w:val="single" w:color="auto" w:sz="4" w:space="0"/>
              <w:left w:val="single" w:color="auto" w:sz="4" w:space="0"/>
              <w:bottom w:val="single" w:color="auto" w:sz="4" w:space="0"/>
              <w:right w:val="single" w:color="auto" w:sz="4" w:space="0"/>
            </w:tcBorders>
            <w:vAlign w:val="center"/>
          </w:tcPr>
          <w:p w14:paraId="7070788A">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充满电时间≤6小时</w:t>
            </w:r>
          </w:p>
        </w:tc>
      </w:tr>
      <w:tr w14:paraId="031AF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4DEDD020">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37563D2F">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▲使用时间</w:t>
            </w:r>
          </w:p>
        </w:tc>
        <w:tc>
          <w:tcPr>
            <w:tcW w:w="7433" w:type="dxa"/>
            <w:tcBorders>
              <w:top w:val="single" w:color="auto" w:sz="4" w:space="0"/>
              <w:left w:val="single" w:color="auto" w:sz="4" w:space="0"/>
              <w:bottom w:val="single" w:color="auto" w:sz="4" w:space="0"/>
              <w:right w:val="single" w:color="auto" w:sz="4" w:space="0"/>
            </w:tcBorders>
            <w:vAlign w:val="center"/>
          </w:tcPr>
          <w:p w14:paraId="0275FA96">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 xml:space="preserve">连续使用≥8小时 </w:t>
            </w:r>
          </w:p>
        </w:tc>
      </w:tr>
      <w:tr w14:paraId="76674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3D6A83D0">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3A4F93DB">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电池认证</w:t>
            </w:r>
          </w:p>
        </w:tc>
        <w:tc>
          <w:tcPr>
            <w:tcW w:w="7433" w:type="dxa"/>
            <w:tcBorders>
              <w:top w:val="single" w:color="auto" w:sz="4" w:space="0"/>
              <w:left w:val="single" w:color="auto" w:sz="4" w:space="0"/>
              <w:bottom w:val="single" w:color="auto" w:sz="4" w:space="0"/>
              <w:right w:val="single" w:color="auto" w:sz="4" w:space="0"/>
            </w:tcBorders>
            <w:vAlign w:val="center"/>
          </w:tcPr>
          <w:p w14:paraId="19E80DD4">
            <w:pPr>
              <w:adjustRightInd w:val="0"/>
              <w:snapToGrid w:val="0"/>
              <w:rPr>
                <w:rFonts w:hint="eastAsia" w:ascii="微软雅黑" w:hAnsi="微软雅黑" w:eastAsia="微软雅黑"/>
                <w:sz w:val="20"/>
                <w:szCs w:val="20"/>
              </w:rPr>
            </w:pPr>
            <w:r>
              <w:rPr>
                <w:rFonts w:hint="eastAsia" w:ascii="微软雅黑" w:hAnsi="微软雅黑" w:eastAsia="微软雅黑"/>
                <w:color w:val="000000"/>
                <w:sz w:val="20"/>
                <w:szCs w:val="20"/>
              </w:rPr>
              <w:t>电池通过GB 40165-2021《固定式电子设备用锂离子电池和电池组安全技术规范》</w:t>
            </w:r>
          </w:p>
        </w:tc>
      </w:tr>
      <w:tr w14:paraId="6DB0D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73F311A0">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4EF82B39">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▲电源充电线</w:t>
            </w:r>
          </w:p>
        </w:tc>
        <w:tc>
          <w:tcPr>
            <w:tcW w:w="7433" w:type="dxa"/>
            <w:tcBorders>
              <w:top w:val="single" w:color="auto" w:sz="4" w:space="0"/>
              <w:left w:val="single" w:color="auto" w:sz="4" w:space="0"/>
              <w:bottom w:val="single" w:color="auto" w:sz="4" w:space="0"/>
              <w:right w:val="single" w:color="auto" w:sz="4" w:space="0"/>
            </w:tcBorders>
          </w:tcPr>
          <w:p w14:paraId="219F0C8A">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电源线须采用外置插拔可分离式设计，具备防拉脱自锁功能，方便售后维护更换</w:t>
            </w:r>
            <w:r>
              <w:rPr>
                <w:rFonts w:hint="eastAsia" w:ascii="微软雅黑" w:hAnsi="微软雅黑" w:eastAsia="微软雅黑"/>
                <w:sz w:val="20"/>
                <w:szCs w:val="20"/>
                <w:lang w:eastAsia="zh-CN"/>
              </w:rPr>
              <w:t>。</w:t>
            </w:r>
            <w:r>
              <w:rPr>
                <w:rFonts w:hint="eastAsia" w:ascii="微软雅黑" w:hAnsi="微软雅黑" w:eastAsia="微软雅黑"/>
                <w:sz w:val="20"/>
                <w:szCs w:val="20"/>
              </w:rPr>
              <w:t>（提供实物图片）</w:t>
            </w:r>
          </w:p>
        </w:tc>
      </w:tr>
      <w:tr w14:paraId="178A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33C254AD">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413745BE">
            <w:pPr>
              <w:adjustRightInd w:val="0"/>
              <w:snapToGrid w:val="0"/>
              <w:jc w:val="center"/>
              <w:rPr>
                <w:rFonts w:hint="eastAsia" w:ascii="微软雅黑" w:hAnsi="微软雅黑" w:eastAsia="微软雅黑"/>
                <w:sz w:val="20"/>
                <w:szCs w:val="20"/>
                <w:highlight w:val="yellow"/>
              </w:rPr>
            </w:pPr>
            <w:r>
              <w:rPr>
                <w:rFonts w:hint="eastAsia" w:ascii="微软雅黑" w:hAnsi="微软雅黑" w:eastAsia="微软雅黑"/>
                <w:sz w:val="20"/>
                <w:szCs w:val="20"/>
              </w:rPr>
              <w:t>▲电源总开关</w:t>
            </w:r>
          </w:p>
        </w:tc>
        <w:tc>
          <w:tcPr>
            <w:tcW w:w="7433" w:type="dxa"/>
            <w:tcBorders>
              <w:top w:val="single" w:color="auto" w:sz="4" w:space="0"/>
              <w:left w:val="single" w:color="auto" w:sz="4" w:space="0"/>
              <w:bottom w:val="single" w:color="auto" w:sz="4" w:space="0"/>
              <w:right w:val="single" w:color="auto" w:sz="4" w:space="0"/>
            </w:tcBorders>
            <w:vAlign w:val="center"/>
          </w:tcPr>
          <w:p w14:paraId="007B5C26">
            <w:pPr>
              <w:adjustRightInd w:val="0"/>
              <w:snapToGrid w:val="0"/>
              <w:rPr>
                <w:rFonts w:hint="eastAsia" w:ascii="微软雅黑" w:hAnsi="微软雅黑" w:eastAsia="微软雅黑"/>
                <w:sz w:val="20"/>
                <w:szCs w:val="20"/>
                <w:highlight w:val="yellow"/>
              </w:rPr>
            </w:pPr>
            <w:r>
              <w:rPr>
                <w:rFonts w:hint="eastAsia" w:ascii="微软雅黑" w:hAnsi="微软雅黑" w:eastAsia="微软雅黑"/>
                <w:sz w:val="20"/>
                <w:szCs w:val="20"/>
              </w:rPr>
              <w:t>电源总开关须设置在不易误触的</w:t>
            </w:r>
            <w:r>
              <w:rPr>
                <w:rFonts w:hint="eastAsia" w:ascii="微软雅黑" w:hAnsi="微软雅黑" w:eastAsia="微软雅黑"/>
                <w:sz w:val="20"/>
                <w:szCs w:val="20"/>
                <w:lang w:val="en-US" w:eastAsia="zh-CN"/>
              </w:rPr>
              <w:t>区域</w:t>
            </w:r>
            <w:r>
              <w:rPr>
                <w:rFonts w:hint="eastAsia" w:ascii="微软雅黑" w:hAnsi="微软雅黑" w:eastAsia="微软雅黑"/>
                <w:sz w:val="20"/>
                <w:szCs w:val="20"/>
                <w:lang w:eastAsia="zh-CN"/>
              </w:rPr>
              <w:t>（</w:t>
            </w:r>
            <w:r>
              <w:rPr>
                <w:rFonts w:hint="eastAsia" w:ascii="微软雅黑" w:hAnsi="微软雅黑" w:eastAsia="微软雅黑"/>
                <w:sz w:val="20"/>
                <w:szCs w:val="20"/>
                <w:lang w:val="en-US" w:eastAsia="zh-CN"/>
              </w:rPr>
              <w:t>如</w:t>
            </w:r>
            <w:r>
              <w:rPr>
                <w:rFonts w:hint="eastAsia" w:ascii="微软雅黑" w:hAnsi="微软雅黑" w:eastAsia="微软雅黑"/>
                <w:sz w:val="20"/>
                <w:szCs w:val="20"/>
              </w:rPr>
              <w:t>设备层右后侧</w:t>
            </w:r>
            <w:r>
              <w:rPr>
                <w:rFonts w:hint="eastAsia" w:ascii="微软雅黑" w:hAnsi="微软雅黑" w:eastAsia="微软雅黑"/>
                <w:sz w:val="20"/>
                <w:szCs w:val="20"/>
                <w:lang w:eastAsia="zh-CN"/>
              </w:rPr>
              <w:t>）</w:t>
            </w:r>
            <w:r>
              <w:rPr>
                <w:rFonts w:hint="eastAsia" w:ascii="微软雅黑" w:hAnsi="微软雅黑" w:eastAsia="微软雅黑"/>
                <w:sz w:val="20"/>
                <w:szCs w:val="20"/>
              </w:rPr>
              <w:t>，可一键关断推车所有供电，防止电池过度放电，延长电池寿命。（需提供实物图片）</w:t>
            </w:r>
          </w:p>
        </w:tc>
      </w:tr>
      <w:tr w14:paraId="6838B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43FE83A8">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160D9D89">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电源管理</w:t>
            </w:r>
          </w:p>
        </w:tc>
        <w:tc>
          <w:tcPr>
            <w:tcW w:w="7433" w:type="dxa"/>
            <w:tcBorders>
              <w:top w:val="single" w:color="auto" w:sz="4" w:space="0"/>
              <w:left w:val="single" w:color="auto" w:sz="4" w:space="0"/>
              <w:bottom w:val="single" w:color="auto" w:sz="4" w:space="0"/>
              <w:right w:val="single" w:color="auto" w:sz="4" w:space="0"/>
            </w:tcBorders>
            <w:vAlign w:val="center"/>
          </w:tcPr>
          <w:p w14:paraId="2361564E">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充放电管理设计，可在电脑屏幕上显示电量并且智能动态管理整机功耗</w:t>
            </w:r>
          </w:p>
        </w:tc>
      </w:tr>
      <w:tr w14:paraId="169D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62E054FD">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532949B2">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漏电保护</w:t>
            </w:r>
          </w:p>
        </w:tc>
        <w:tc>
          <w:tcPr>
            <w:tcW w:w="7433" w:type="dxa"/>
            <w:tcBorders>
              <w:top w:val="single" w:color="auto" w:sz="4" w:space="0"/>
              <w:left w:val="single" w:color="auto" w:sz="4" w:space="0"/>
              <w:bottom w:val="single" w:color="auto" w:sz="4" w:space="0"/>
              <w:right w:val="single" w:color="auto" w:sz="4" w:space="0"/>
            </w:tcBorders>
            <w:vAlign w:val="center"/>
          </w:tcPr>
          <w:p w14:paraId="71FD1F0F">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具有外壳对地漏电电流保护、电击保护功能</w:t>
            </w:r>
          </w:p>
        </w:tc>
      </w:tr>
      <w:tr w14:paraId="1F4ED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2F09C7B3">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253EE1EA">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电流电压保护</w:t>
            </w:r>
          </w:p>
        </w:tc>
        <w:tc>
          <w:tcPr>
            <w:tcW w:w="7433" w:type="dxa"/>
            <w:tcBorders>
              <w:top w:val="single" w:color="auto" w:sz="4" w:space="0"/>
              <w:left w:val="single" w:color="auto" w:sz="4" w:space="0"/>
              <w:bottom w:val="single" w:color="auto" w:sz="4" w:space="0"/>
              <w:right w:val="single" w:color="auto" w:sz="4" w:space="0"/>
            </w:tcBorders>
            <w:vAlign w:val="center"/>
          </w:tcPr>
          <w:p w14:paraId="786D9736">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具有过压、过流、欠压、过充、过放保护功能。</w:t>
            </w:r>
          </w:p>
        </w:tc>
      </w:tr>
      <w:tr w14:paraId="5D4D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6AA73126">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2B156C94">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★产品认证</w:t>
            </w:r>
          </w:p>
        </w:tc>
        <w:tc>
          <w:tcPr>
            <w:tcW w:w="7433" w:type="dxa"/>
            <w:tcBorders>
              <w:top w:val="single" w:color="auto" w:sz="4" w:space="0"/>
              <w:left w:val="single" w:color="auto" w:sz="4" w:space="0"/>
              <w:bottom w:val="single" w:color="auto" w:sz="4" w:space="0"/>
              <w:right w:val="single" w:color="auto" w:sz="4" w:space="0"/>
            </w:tcBorders>
            <w:vAlign w:val="center"/>
          </w:tcPr>
          <w:p w14:paraId="6FF32136">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投标产品整体具有3C认证证书（投标人需承诺供货时提供，承诺函格式自拟）</w:t>
            </w:r>
          </w:p>
        </w:tc>
      </w:tr>
      <w:tr w14:paraId="0B3D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Borders>
              <w:top w:val="single" w:color="auto" w:sz="4" w:space="0"/>
              <w:left w:val="single" w:color="auto" w:sz="4" w:space="0"/>
              <w:bottom w:val="single" w:color="auto" w:sz="4" w:space="0"/>
              <w:right w:val="single" w:color="auto" w:sz="4" w:space="0"/>
            </w:tcBorders>
            <w:vAlign w:val="center"/>
          </w:tcPr>
          <w:p w14:paraId="2B8C0E56">
            <w:pPr>
              <w:pStyle w:val="7"/>
              <w:numPr>
                <w:ilvl w:val="0"/>
                <w:numId w:val="5"/>
              </w:numPr>
              <w:ind w:left="0" w:firstLine="0" w:firstLineChars="0"/>
              <w:jc w:val="center"/>
              <w:rPr>
                <w:rFonts w:hint="eastAsia" w:ascii="微软雅黑" w:hAnsi="微软雅黑" w:eastAsia="微软雅黑"/>
                <w:sz w:val="20"/>
                <w:szCs w:val="20"/>
              </w:rPr>
            </w:pPr>
          </w:p>
        </w:tc>
        <w:tc>
          <w:tcPr>
            <w:tcW w:w="1831" w:type="dxa"/>
            <w:tcBorders>
              <w:top w:val="single" w:color="auto" w:sz="4" w:space="0"/>
              <w:left w:val="single" w:color="auto" w:sz="4" w:space="0"/>
              <w:bottom w:val="single" w:color="auto" w:sz="4" w:space="0"/>
              <w:right w:val="single" w:color="auto" w:sz="4" w:space="0"/>
            </w:tcBorders>
            <w:vAlign w:val="center"/>
          </w:tcPr>
          <w:p w14:paraId="5223D43B">
            <w:pPr>
              <w:adjustRightInd w:val="0"/>
              <w:snapToGrid w:val="0"/>
              <w:jc w:val="center"/>
              <w:rPr>
                <w:rFonts w:hint="eastAsia" w:ascii="微软雅黑" w:hAnsi="微软雅黑" w:eastAsia="微软雅黑"/>
                <w:sz w:val="20"/>
                <w:szCs w:val="20"/>
              </w:rPr>
            </w:pPr>
            <w:r>
              <w:rPr>
                <w:rFonts w:hint="eastAsia" w:ascii="微软雅黑" w:hAnsi="微软雅黑" w:eastAsia="微软雅黑"/>
                <w:sz w:val="20"/>
                <w:szCs w:val="20"/>
              </w:rPr>
              <w:t>★安全认证</w:t>
            </w:r>
          </w:p>
        </w:tc>
        <w:tc>
          <w:tcPr>
            <w:tcW w:w="7433" w:type="dxa"/>
            <w:tcBorders>
              <w:top w:val="single" w:color="auto" w:sz="4" w:space="0"/>
              <w:left w:val="single" w:color="auto" w:sz="4" w:space="0"/>
              <w:bottom w:val="single" w:color="auto" w:sz="4" w:space="0"/>
              <w:right w:val="single" w:color="auto" w:sz="4" w:space="0"/>
            </w:tcBorders>
            <w:vAlign w:val="center"/>
          </w:tcPr>
          <w:p w14:paraId="10C3FFEC">
            <w:pPr>
              <w:adjustRightInd w:val="0"/>
              <w:snapToGrid w:val="0"/>
              <w:rPr>
                <w:rFonts w:hint="eastAsia" w:ascii="微软雅黑" w:hAnsi="微软雅黑" w:eastAsia="微软雅黑"/>
                <w:sz w:val="20"/>
                <w:szCs w:val="20"/>
              </w:rPr>
            </w:pPr>
            <w:r>
              <w:rPr>
                <w:rFonts w:hint="eastAsia" w:ascii="微软雅黑" w:hAnsi="微软雅黑" w:eastAsia="微软雅黑"/>
                <w:sz w:val="20"/>
                <w:szCs w:val="20"/>
              </w:rPr>
              <w:t>整车通过GB 9706.1医用电气设备安全检测，及GB 4943.1信息技术设备安全检测（需提供第三方检测机构出具的带CNAS或CMA标识的检测报告复印件加盖公章）</w:t>
            </w:r>
          </w:p>
        </w:tc>
      </w:tr>
    </w:tbl>
    <w:p w14:paraId="5B27746D">
      <w:pPr>
        <w:pStyle w:val="2"/>
        <w:keepNext w:val="0"/>
        <w:keepLines w:val="0"/>
        <w:pageBreakBefore w:val="0"/>
        <w:widowControl w:val="0"/>
        <w:numPr>
          <w:ilvl w:val="0"/>
          <w:numId w:val="1"/>
        </w:numPr>
        <w:kinsoku/>
        <w:wordWrap/>
        <w:overflowPunct/>
        <w:topLinePunct w:val="0"/>
        <w:autoSpaceDE/>
        <w:autoSpaceDN/>
        <w:bidi w:val="0"/>
        <w:adjustRightInd/>
        <w:snapToGrid/>
        <w:spacing w:line="560" w:lineRule="exact"/>
        <w:ind w:left="990" w:leftChars="0" w:hanging="990" w:firstLineChars="0"/>
        <w:textAlignment w:val="auto"/>
        <w:rPr>
          <w:rFonts w:hint="eastAsia" w:ascii="楷体_GB2312" w:eastAsia="楷体_GB2312" w:hAnsiTheme="minorHAnsi" w:cstheme="minorBidi"/>
          <w:kern w:val="2"/>
          <w:sz w:val="32"/>
          <w:szCs w:val="32"/>
          <w:lang w:val="en-US" w:eastAsia="zh-CN" w:bidi="ar-SA"/>
        </w:rPr>
      </w:pPr>
      <w:r>
        <w:rPr>
          <w:rFonts w:hint="eastAsia" w:ascii="楷体_GB2312" w:eastAsia="楷体_GB2312" w:hAnsiTheme="minorHAnsi" w:cstheme="minorBidi"/>
          <w:kern w:val="2"/>
          <w:sz w:val="32"/>
          <w:szCs w:val="32"/>
          <w:lang w:val="en-US" w:eastAsia="zh-CN" w:bidi="ar-SA"/>
        </w:rPr>
        <w:t>服务要求</w:t>
      </w:r>
    </w:p>
    <w:p w14:paraId="54174E21">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320" w:firstLineChars="100"/>
        <w:jc w:val="both"/>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★1.质保要求：5年（自最终验收合格之日起计算）。质保期内，中标人须提供设备原厂或授权服务商的免费保修服务（提供售后服务承诺函并加盖公章）。</w:t>
      </w:r>
    </w:p>
    <w:p w14:paraId="15155C14">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2.质保要求：</w:t>
      </w:r>
    </w:p>
    <w:p w14:paraId="1A3E8992">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default"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（1）质保期内发生故障，中标人须提供7×24小时热线支持。接到报修后30分钟内电话响应；远程指导无法解决的，维修工程师须在12小时内到达现场进行修理或换件。最迟在3个工作日内修复。</w:t>
      </w:r>
    </w:p>
    <w:p w14:paraId="37E17281">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2）质保期内投标人须提供针对本项目的《售后服务承诺函》（加盖公章），明确质保年限、响应时间及备机（件）提供方案。质保期结束后，除材料费由采购人按照成本价支付外，其余所有费用由中标人自行承担，即保证终身免费上门维修维护。</w:t>
      </w:r>
    </w:p>
    <w:p w14:paraId="4337EA73">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（3）提供24小时电话维修服务系统，并列出项目经理、工程师名单、联系电话、通讯地址等。</w:t>
      </w:r>
    </w:p>
    <w:p w14:paraId="26CF0859">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（4）终身零配件供应，乙方应保证设备及相关零部件停产后备件至少供应5年，并以优惠的价格提供该设备所需的维修零配件及相关维修服务。</w:t>
      </w:r>
    </w:p>
    <w:p w14:paraId="5FA58C07">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（5）投标产品必须为全新未使用过的设备(包括配套设备及零部件),从生产日期到交货日期不得超过6个月，并且符合国家、行业规定的质量、规格和性能等要求。</w:t>
      </w:r>
    </w:p>
    <w:p w14:paraId="0E96E59D">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default"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3.</w:t>
      </w:r>
      <w:r>
        <w:rPr>
          <w:rFonts w:hint="default" w:ascii="方正仿宋_GB2312" w:hAnsi="方正仿宋_GB2312" w:eastAsia="方正仿宋_GB2312" w:cs="方正仿宋_GB2312"/>
          <w:color w:val="auto"/>
          <w:kern w:val="0"/>
          <w:sz w:val="32"/>
          <w:szCs w:val="32"/>
          <w:highlight w:val="none"/>
          <w:lang w:val="en-US" w:eastAsia="zh-CN" w:bidi="ar-SA"/>
        </w:rPr>
        <w:t>技术资料：中标人须提供设备使用说明书、维护手册等相关资料</w:t>
      </w:r>
      <w:r>
        <w:rPr>
          <w:rFonts w:hint="eastAsia" w:ascii="方正仿宋_GB2312" w:hAnsi="方正仿宋_GB2312" w:eastAsia="方正仿宋_GB2312" w:cs="方正仿宋_GB2312"/>
          <w:color w:val="auto"/>
          <w:kern w:val="0"/>
          <w:sz w:val="32"/>
          <w:szCs w:val="32"/>
          <w:highlight w:val="none"/>
          <w:lang w:val="en-US" w:eastAsia="zh-CN" w:bidi="ar-SA"/>
        </w:rPr>
        <w:t>。</w:t>
      </w:r>
    </w:p>
    <w:p w14:paraId="01BFF095">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4.移动护理车：</w:t>
      </w:r>
    </w:p>
    <w:p w14:paraId="1FA65FF8">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（1）备机服务：提供备用电池或关键模块。当设备发生故障且24小时内无法修复时，须立即启用备用机/备件，确保临床业务不中断。</w:t>
      </w:r>
    </w:p>
    <w:p w14:paraId="1736DF0E">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320" w:firstLineChars="100"/>
        <w:jc w:val="both"/>
        <w:textAlignment w:val="auto"/>
        <w:rPr>
          <w:rFonts w:hint="default"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★（2）须提供的证件及证明材料</w:t>
      </w:r>
    </w:p>
    <w:p w14:paraId="725BB9B3">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default"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①电池电芯及循环寿命证明（</w:t>
      </w:r>
      <w:r>
        <w:rPr>
          <w:rFonts w:hint="default" w:ascii="方正仿宋_GB2312" w:hAnsi="方正仿宋_GB2312" w:eastAsia="方正仿宋_GB2312" w:cs="方正仿宋_GB2312"/>
          <w:color w:val="auto"/>
          <w:kern w:val="0"/>
          <w:sz w:val="32"/>
          <w:szCs w:val="32"/>
          <w:highlight w:val="none"/>
          <w:lang w:val="en-US" w:eastAsia="zh-CN" w:bidi="ar-SA"/>
        </w:rPr>
        <w:t>须提供第三方检测机构出具的带CNAS或CMA标识的检测报告复印件</w:t>
      </w:r>
      <w:r>
        <w:rPr>
          <w:rFonts w:hint="eastAsia" w:ascii="方正仿宋_GB2312" w:hAnsi="方正仿宋_GB2312" w:eastAsia="方正仿宋_GB2312" w:cs="方正仿宋_GB2312"/>
          <w:color w:val="auto"/>
          <w:kern w:val="0"/>
          <w:sz w:val="32"/>
          <w:szCs w:val="32"/>
          <w:highlight w:val="none"/>
          <w:lang w:val="en-US" w:eastAsia="zh-CN" w:bidi="ar-SA"/>
        </w:rPr>
        <w:t>，报告中须体现上述循环次数，加盖投标人公章）；</w:t>
      </w:r>
    </w:p>
    <w:p w14:paraId="332D2ECE">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②GB 4943.1（信息技术设备安全）认证或提供带CNAS/CMA标志的检测报告；</w:t>
      </w:r>
    </w:p>
    <w:p w14:paraId="35679604">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default"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③YD 0505（电信设备抗扰度）认证或提供带CNAS/CMA标志的检测报告；</w:t>
      </w:r>
    </w:p>
    <w:p w14:paraId="31B22DD2">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default"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（2）质保期满后的维保响应：质保期满后的售后响应要求不得低于质保期内，售后部门在接到电话后2小时内响应，48小时内派专业技术人员到达现场处理。</w:t>
      </w:r>
    </w:p>
    <w:p w14:paraId="775BF2E6">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jc w:val="both"/>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 xml:space="preserve">  ▲（3）巡检服务：质保期内，中标人每年至少提供1次免费上门巡检服务。巡检内容包括但不限于：</w:t>
      </w:r>
    </w:p>
    <w:p w14:paraId="169A7473">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①机械结构：紧固全车螺丝、检查脚轮磨损并清理缠绕物、润滑升降立柱、调节刹车；</w:t>
      </w:r>
    </w:p>
    <w:p w14:paraId="18CB45AD">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②电气系统：检测电源线是否老化破损、测试漏电保护功能、清理工控机内部灰尘；</w:t>
      </w:r>
    </w:p>
    <w:p w14:paraId="2547A71B">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③系统软件：检查操作系统运行速度、清理冗余缓存、排查无线网络连接稳定性。</w:t>
      </w:r>
    </w:p>
    <w:p w14:paraId="0309A984">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default"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④巡检报告：每次巡检完成后，须向采购人信息科提交使用科室签字的《设备运行健康报告》。</w:t>
      </w:r>
    </w:p>
    <w:p w14:paraId="1640B821">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320" w:firstLineChars="100"/>
        <w:jc w:val="both"/>
        <w:textAlignment w:val="auto"/>
        <w:rPr>
          <w:rFonts w:hint="default"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▲5.培训要求</w:t>
      </w:r>
    </w:p>
    <w:p w14:paraId="3E11C9E7">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default"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（1）提交完整的培训计划（含培训目标、培训对象、培训内容、培训方式及考核方案），经医院确认后执行。</w:t>
      </w:r>
    </w:p>
    <w:p w14:paraId="15A48CD8">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default"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（2）培训方式包括现场培训和集中培训等，培训环境的搭建、培训文档的准备、培训的实施及人员考核由供应商负责，医院仅负责提供培训场地、培训电脑及人员召集。</w:t>
      </w:r>
    </w:p>
    <w:p w14:paraId="403521D4">
      <w:pPr>
        <w:pStyle w:val="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（3）与培训相关的全部费用（含讲师费、资料费、差旅费等）已包含在合同总金额中，医院不再另行支付。</w:t>
      </w:r>
    </w:p>
    <w:p w14:paraId="0208A026">
      <w:r>
        <w:rPr>
          <w:rFonts w:hint="eastAsia" w:ascii="方正仿宋_GB2312" w:hAnsi="方正仿宋_GB2312" w:eastAsia="方正仿宋_GB2312" w:cs="方正仿宋_GB2312"/>
          <w:color w:val="auto"/>
          <w:kern w:val="0"/>
          <w:sz w:val="32"/>
          <w:szCs w:val="32"/>
          <w:highlight w:val="none"/>
          <w:lang w:val="en-US" w:eastAsia="zh-CN" w:bidi="ar-SA"/>
        </w:rPr>
        <w:t>（4）培训的具体实施方式、培训范围及培训对象由医院信息科根据各使用科室及管理科室的实际需求统一确认后通知供应商执行。</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EA816EA8-EE64-45BD-A38A-DD0975F6D721}"/>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embedRegular r:id="rId2" w:fontKey="{95D808BD-A4BB-4B14-A9B7-D401CCDED790}"/>
  </w:font>
  <w:font w:name="方正仿宋_GB2312">
    <w:panose1 w:val="02000000000000000000"/>
    <w:charset w:val="86"/>
    <w:family w:val="auto"/>
    <w:pitch w:val="default"/>
    <w:sig w:usb0="A00002BF" w:usb1="184F6CFA" w:usb2="00000012" w:usb3="00000000" w:csb0="00040001" w:csb1="00000000"/>
    <w:embedRegular r:id="rId3" w:fontKey="{654E1441-AD55-4419-BB5F-5A400D7B91B6}"/>
  </w:font>
  <w:font w:name="微软雅黑">
    <w:panose1 w:val="020B0503020204020204"/>
    <w:charset w:val="86"/>
    <w:family w:val="swiss"/>
    <w:pitch w:val="default"/>
    <w:sig w:usb0="80000287" w:usb1="2ACF3C50" w:usb2="00000016" w:usb3="00000000" w:csb0="0004001F" w:csb1="00000000"/>
    <w:embedRegular r:id="rId4" w:fontKey="{4CD2B4D8-6905-403C-A890-EAF8DC60E623}"/>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836336"/>
    <w:multiLevelType w:val="singleLevel"/>
    <w:tmpl w:val="C1836336"/>
    <w:lvl w:ilvl="0" w:tentative="0">
      <w:start w:val="1"/>
      <w:numFmt w:val="decimal"/>
      <w:suff w:val="space"/>
      <w:lvlText w:val="%1."/>
      <w:lvlJc w:val="left"/>
    </w:lvl>
  </w:abstractNum>
  <w:abstractNum w:abstractNumId="1">
    <w:nsid w:val="F9566FD0"/>
    <w:multiLevelType w:val="singleLevel"/>
    <w:tmpl w:val="F9566FD0"/>
    <w:lvl w:ilvl="0" w:tentative="0">
      <w:start w:val="2"/>
      <w:numFmt w:val="decimal"/>
      <w:suff w:val="space"/>
      <w:lvlText w:val="%1."/>
      <w:lvlJc w:val="left"/>
    </w:lvl>
  </w:abstractNum>
  <w:abstractNum w:abstractNumId="2">
    <w:nsid w:val="1FC45DBC"/>
    <w:multiLevelType w:val="multilevel"/>
    <w:tmpl w:val="1FC45DBC"/>
    <w:lvl w:ilvl="0" w:tentative="0">
      <w:start w:val="1"/>
      <w:numFmt w:val="japaneseCounting"/>
      <w:lvlText w:val="（%1）"/>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F5773EE"/>
    <w:multiLevelType w:val="singleLevel"/>
    <w:tmpl w:val="4F5773EE"/>
    <w:lvl w:ilvl="0" w:tentative="0">
      <w:start w:val="1"/>
      <w:numFmt w:val="decimal"/>
      <w:suff w:val="space"/>
      <w:lvlText w:val="%1."/>
      <w:lvlJc w:val="left"/>
    </w:lvl>
  </w:abstractNum>
  <w:abstractNum w:abstractNumId="4">
    <w:nsid w:val="55C779CA"/>
    <w:multiLevelType w:val="multilevel"/>
    <w:tmpl w:val="55C779CA"/>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C55CC2"/>
    <w:rsid w:val="094E21B4"/>
    <w:rsid w:val="27C55C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Plain Text"/>
    <w:basedOn w:val="1"/>
    <w:next w:val="1"/>
    <w:qFormat/>
    <w:uiPriority w:val="0"/>
    <w:rPr>
      <w:rFonts w:ascii="宋体" w:hAnsi="Courier New"/>
      <w:szCs w:val="20"/>
    </w:rPr>
  </w:style>
  <w:style w:type="paragraph" w:styleId="4">
    <w:name w:val="Body Text First Indent"/>
    <w:basedOn w:val="2"/>
    <w:qFormat/>
    <w:uiPriority w:val="0"/>
    <w:pPr>
      <w:widowControl/>
      <w:spacing w:line="360" w:lineRule="auto"/>
      <w:ind w:firstLine="420" w:firstLineChars="100"/>
    </w:pPr>
    <w:rPr>
      <w:color w:val="FF0000"/>
    </w:rPr>
  </w:style>
  <w:style w:type="paragraph" w:styleId="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911</Words>
  <Characters>1106</Characters>
  <Lines>0</Lines>
  <Paragraphs>0</Paragraphs>
  <TotalTime>0</TotalTime>
  <ScaleCrop>false</ScaleCrop>
  <LinksUpToDate>false</LinksUpToDate>
  <CharactersWithSpaces>1123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2026-07-17T02:48:00Z</dcterms:created>
  <dc:creator>严梦</dc:creator>
  <cp:lastModifiedBy>严梦</cp:lastModifiedBy>
  <dcterms:modified xsi:type="dcterms:W3CDTF">2026-10-20T04:25:19Z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69EEDC4C03024713AF73C0CA21C8EAE0_11</vt:lpwstr>
  </property>
  <property fmtid="{D5CDD505-2E9C-101B-9397-08002B2CF9AE}" pid="4" name="KSOTemplateDocerSaveRecord">
    <vt:lpwstr>eyJoZGlkIjoiN2IwMmVmZTBjZjZkM2M1NWM3NTZhNzg2MTJkMmRjZDkiLCJ1c2VySWQiOiIxNzAzMzE3OTU1In0=</vt:lpwstr>
  </property>
</Properties>
</file>